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993FAC4" w:rsidR="00D3224B" w:rsidRDefault="005814B7" w:rsidP="00FB2F55">
      <w:pPr>
        <w:pStyle w:val="Heading1"/>
        <w:spacing w:before="0" w:after="0" w:line="240" w:lineRule="auto"/>
        <w:rPr>
          <w:color w:val="auto"/>
          <w:sz w:val="24"/>
          <w:szCs w:val="24"/>
        </w:rPr>
      </w:pPr>
      <w:hyperlink r:id="rId8" w:history="1">
        <w:r>
          <w:rPr>
            <w:rStyle w:val="Hyperlink"/>
            <w:color w:val="auto"/>
            <w:sz w:val="24"/>
            <w:szCs w:val="24"/>
            <w:u w:val="none"/>
          </w:rPr>
          <w:t>1. R</w:t>
        </w:r>
        <w:r w:rsidRPr="005814B7">
          <w:rPr>
            <w:rStyle w:val="Hyperlink"/>
            <w:color w:val="auto"/>
            <w:sz w:val="24"/>
            <w:szCs w:val="24"/>
            <w:u w:val="none"/>
          </w:rPr>
          <w:t xml:space="preserve">ISK ASSESSMENT </w:t>
        </w:r>
        <w:r>
          <w:rPr>
            <w:rStyle w:val="Hyperlink"/>
            <w:color w:val="auto"/>
            <w:sz w:val="24"/>
            <w:szCs w:val="24"/>
            <w:u w:val="none"/>
          </w:rPr>
          <w:t>FOR</w:t>
        </w:r>
        <w:r w:rsidRPr="005814B7">
          <w:rPr>
            <w:rStyle w:val="Hyperlink"/>
            <w:color w:val="auto"/>
            <w:sz w:val="24"/>
            <w:szCs w:val="24"/>
            <w:u w:val="none"/>
          </w:rPr>
          <w:t xml:space="preserve"> INTERNATIONAL PROJECTS: A MANAGEMENT APPROACH (RS181-1)</w:t>
        </w:r>
      </w:hyperlink>
    </w:p>
    <w:p w14:paraId="04BC7980" w14:textId="77777777" w:rsidR="005814B7" w:rsidRDefault="005814B7" w:rsidP="00FB2F55">
      <w:pPr>
        <w:spacing w:after="0" w:line="240" w:lineRule="auto"/>
      </w:pPr>
    </w:p>
    <w:p w14:paraId="7EBF837A" w14:textId="77777777" w:rsidR="00EE3118" w:rsidRPr="00EE3118" w:rsidRDefault="009218A9" w:rsidP="00FB2F55">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EE3118" w:rsidRPr="00EE3118">
        <w:rPr>
          <w:sz w:val="24"/>
          <w:szCs w:val="24"/>
          <w:lang w:eastAsia="zh-CN"/>
        </w:rPr>
        <w:t xml:space="preserve">The International Project Risk Assessment (IPRA) tool allows a project team to identify and gauge the level of risk on projects prior to and throughout the project’s life cycle. By design, IPRA focuses specifically on issues unique to international ventures. A significant feature of IPRA is its flexibility to fit the needs of almost any individual project. IPRA elements that are not applicable to a specific project can be ignored, thus eliminating them from further assessment and mitigation actions. </w:t>
      </w:r>
    </w:p>
    <w:p w14:paraId="1423ECCA" w14:textId="77777777" w:rsidR="00EE3118" w:rsidRPr="00EE3118" w:rsidRDefault="00EE3118" w:rsidP="00FB2F55">
      <w:pPr>
        <w:pStyle w:val="NoSpacing"/>
        <w:jc w:val="both"/>
        <w:rPr>
          <w:sz w:val="24"/>
          <w:szCs w:val="24"/>
          <w:lang w:eastAsia="zh-CN"/>
        </w:rPr>
      </w:pPr>
    </w:p>
    <w:p w14:paraId="43AE31BB" w14:textId="6F5AFCA9" w:rsidR="00EE3118" w:rsidRPr="00EE3118" w:rsidRDefault="00EE3118" w:rsidP="00FB2F55">
      <w:pPr>
        <w:pStyle w:val="NoSpacing"/>
        <w:jc w:val="both"/>
        <w:rPr>
          <w:sz w:val="24"/>
          <w:szCs w:val="24"/>
          <w:lang w:eastAsia="zh-CN"/>
        </w:rPr>
      </w:pPr>
      <w:r w:rsidRPr="00EE3118">
        <w:rPr>
          <w:sz w:val="24"/>
          <w:szCs w:val="24"/>
          <w:lang w:eastAsia="zh-CN"/>
        </w:rPr>
        <w:t>For international construction projects, the following risk response is proposed as a critical phase of the overarching risk management process. The following actions can help the project team effectively implement IPRA:</w:t>
      </w:r>
    </w:p>
    <w:p w14:paraId="0CB6BD1C" w14:textId="2BF544C7"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Organize and formalize a risk management process and keep it as simple as possible.</w:t>
      </w:r>
    </w:p>
    <w:p w14:paraId="59819D68" w14:textId="64565DB1"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Begin early to optimize effectiveness.</w:t>
      </w:r>
    </w:p>
    <w:p w14:paraId="5C808E7F" w14:textId="0E1A38AA"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Maintain a broad perspective to obtain the diversified input required.</w:t>
      </w:r>
    </w:p>
    <w:p w14:paraId="4AE797AC" w14:textId="428788AB"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Undertake adequate pre-project planning, analysis, and engineering.</w:t>
      </w:r>
    </w:p>
    <w:p w14:paraId="31B26CCA" w14:textId="6492D0F3"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 xml:space="preserve">Partner with owner and contractor management. </w:t>
      </w:r>
    </w:p>
    <w:p w14:paraId="250449EA" w14:textId="6F66E965" w:rsidR="00EE3118"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Recognize that certain projects are more prone to risk than others and that experience in a jurisdiction is important.</w:t>
      </w:r>
    </w:p>
    <w:p w14:paraId="5E768BFB" w14:textId="5A14AFD7" w:rsidR="009218A9" w:rsidRPr="004771AE" w:rsidRDefault="00EE3118" w:rsidP="00FB2F55">
      <w:pPr>
        <w:pStyle w:val="ListParagraph"/>
        <w:numPr>
          <w:ilvl w:val="0"/>
          <w:numId w:val="48"/>
        </w:numPr>
        <w:spacing w:after="0" w:line="240" w:lineRule="auto"/>
        <w:rPr>
          <w:rFonts w:cs="Times New Roman"/>
          <w:sz w:val="24"/>
          <w:szCs w:val="24"/>
        </w:rPr>
      </w:pPr>
      <w:r w:rsidRPr="004771AE">
        <w:rPr>
          <w:rFonts w:cs="Times New Roman"/>
          <w:sz w:val="24"/>
          <w:szCs w:val="24"/>
        </w:rPr>
        <w:t>Recognize that risk documentation is critical.</w:t>
      </w:r>
    </w:p>
    <w:p w14:paraId="58A62CE0" w14:textId="77777777" w:rsidR="00EE3118" w:rsidRDefault="00EE3118" w:rsidP="00FB2F55">
      <w:pPr>
        <w:pStyle w:val="NoSpacing"/>
        <w:jc w:val="both"/>
        <w:rPr>
          <w:sz w:val="24"/>
          <w:szCs w:val="24"/>
          <w:lang w:eastAsia="zh-CN"/>
        </w:rPr>
      </w:pPr>
    </w:p>
    <w:p w14:paraId="04E51592" w14:textId="77777777" w:rsidR="009218A9" w:rsidRPr="00F33C36" w:rsidRDefault="009218A9" w:rsidP="00FB2F55">
      <w:pPr>
        <w:pStyle w:val="NoSpacing"/>
        <w:jc w:val="both"/>
        <w:rPr>
          <w:rFonts w:cs="Times New Roman"/>
          <w:b/>
          <w:bCs/>
          <w:sz w:val="28"/>
          <w:szCs w:val="28"/>
          <w:u w:val="single"/>
          <w:lang w:eastAsia="zh-CN"/>
        </w:rPr>
      </w:pPr>
      <w:r>
        <w:rPr>
          <w:b/>
          <w:bCs/>
          <w:sz w:val="24"/>
          <w:szCs w:val="24"/>
          <w:u w:val="single"/>
          <w:lang w:eastAsia="zh-CN"/>
        </w:rPr>
        <w:t>Key Takeaways:</w:t>
      </w:r>
    </w:p>
    <w:p w14:paraId="67AFB701" w14:textId="5B0C88EA" w:rsidR="005814B7" w:rsidRDefault="005814B7" w:rsidP="00FB2F55">
      <w:pPr>
        <w:pStyle w:val="Heading2"/>
        <w:spacing w:before="0" w:after="0" w:line="240" w:lineRule="auto"/>
        <w:rPr>
          <w:color w:val="auto"/>
        </w:rPr>
      </w:pPr>
      <w:r>
        <w:rPr>
          <w:color w:val="auto"/>
        </w:rPr>
        <w:t>(1) O</w:t>
      </w:r>
      <w:r w:rsidR="005973D1" w:rsidRPr="005814B7">
        <w:rPr>
          <w:color w:val="auto"/>
        </w:rPr>
        <w:t xml:space="preserve">rganize and formalize a risk management process and keep it as simple as possible. </w:t>
      </w:r>
    </w:p>
    <w:p w14:paraId="0D94ACD9" w14:textId="0C8BBBC9" w:rsidR="00830C78" w:rsidRPr="005814B7" w:rsidRDefault="001F6ECD" w:rsidP="00FB2F55">
      <w:pPr>
        <w:pStyle w:val="Heading2"/>
        <w:spacing w:before="0" w:after="0" w:line="240" w:lineRule="auto"/>
        <w:ind w:left="360"/>
        <w:rPr>
          <w:color w:val="auto"/>
        </w:rPr>
      </w:pPr>
      <w:r w:rsidRPr="005814B7">
        <w:rPr>
          <w:color w:val="auto"/>
        </w:rPr>
        <w:t>(Project Phase:</w:t>
      </w:r>
      <w:r w:rsidR="00425510" w:rsidRPr="005814B7">
        <w:rPr>
          <w:color w:val="auto"/>
        </w:rPr>
        <w:t xml:space="preserve"> Feasibility through</w:t>
      </w:r>
      <w:r w:rsidR="00C859B2" w:rsidRPr="005814B7">
        <w:rPr>
          <w:color w:val="auto"/>
        </w:rPr>
        <w:t xml:space="preserve"> Operate Facility</w:t>
      </w:r>
      <w:r w:rsidRPr="005814B7">
        <w:rPr>
          <w:color w:val="auto"/>
        </w:rPr>
        <w:t>)</w:t>
      </w:r>
    </w:p>
    <w:p w14:paraId="5D2689E4" w14:textId="4F73DE27" w:rsidR="00A9150C" w:rsidRPr="005814B7" w:rsidRDefault="00A9150C" w:rsidP="00FB2F55">
      <w:pPr>
        <w:pStyle w:val="ListParagraph"/>
        <w:numPr>
          <w:ilvl w:val="0"/>
          <w:numId w:val="46"/>
        </w:numPr>
        <w:spacing w:after="0" w:line="240" w:lineRule="auto"/>
        <w:rPr>
          <w:rFonts w:cs="Times New Roman"/>
          <w:sz w:val="24"/>
          <w:szCs w:val="24"/>
        </w:rPr>
      </w:pPr>
      <w:r w:rsidRPr="005814B7">
        <w:rPr>
          <w:rFonts w:cs="Times New Roman"/>
          <w:sz w:val="24"/>
          <w:szCs w:val="24"/>
        </w:rPr>
        <w:t>Identify key stakeholders to participate in the risk assessment and management process.</w:t>
      </w:r>
    </w:p>
    <w:p w14:paraId="2A84D967" w14:textId="4759886E" w:rsidR="00A9150C" w:rsidRPr="005814B7" w:rsidRDefault="00A9150C" w:rsidP="00FB2F55">
      <w:pPr>
        <w:pStyle w:val="ListParagraph"/>
        <w:numPr>
          <w:ilvl w:val="0"/>
          <w:numId w:val="46"/>
        </w:numPr>
        <w:spacing w:after="0" w:line="240" w:lineRule="auto"/>
        <w:rPr>
          <w:rFonts w:cs="Times New Roman"/>
          <w:sz w:val="24"/>
          <w:szCs w:val="24"/>
        </w:rPr>
      </w:pPr>
      <w:r w:rsidRPr="005814B7">
        <w:rPr>
          <w:rFonts w:cs="Times New Roman"/>
          <w:sz w:val="24"/>
          <w:szCs w:val="24"/>
        </w:rPr>
        <w:t>Develop a comprehensive risk register by collecting and documenting potential risks associated with the project.</w:t>
      </w:r>
    </w:p>
    <w:p w14:paraId="45951BA2" w14:textId="685E5989" w:rsidR="00A9150C" w:rsidRPr="005814B7" w:rsidRDefault="00A9150C" w:rsidP="00FB2F55">
      <w:pPr>
        <w:pStyle w:val="ListParagraph"/>
        <w:numPr>
          <w:ilvl w:val="0"/>
          <w:numId w:val="46"/>
        </w:numPr>
        <w:spacing w:after="0" w:line="240" w:lineRule="auto"/>
        <w:rPr>
          <w:rFonts w:cs="Times New Roman"/>
          <w:sz w:val="24"/>
          <w:szCs w:val="24"/>
        </w:rPr>
      </w:pPr>
      <w:r w:rsidRPr="005814B7">
        <w:rPr>
          <w:rFonts w:cs="Times New Roman"/>
          <w:sz w:val="24"/>
          <w:szCs w:val="24"/>
        </w:rPr>
        <w:t>Establish clear roles and responsibilities among team members for identifying, analyzing, and mitigating risks.</w:t>
      </w:r>
    </w:p>
    <w:p w14:paraId="0452002E" w14:textId="733DE361" w:rsidR="00A9150C" w:rsidRPr="005814B7" w:rsidRDefault="00A9150C" w:rsidP="00FB2F55">
      <w:pPr>
        <w:pStyle w:val="ListParagraph"/>
        <w:numPr>
          <w:ilvl w:val="0"/>
          <w:numId w:val="46"/>
        </w:numPr>
        <w:spacing w:after="0" w:line="240" w:lineRule="auto"/>
        <w:rPr>
          <w:rFonts w:cs="Times New Roman"/>
          <w:sz w:val="24"/>
          <w:szCs w:val="24"/>
        </w:rPr>
      </w:pPr>
      <w:r w:rsidRPr="005814B7">
        <w:rPr>
          <w:rFonts w:cs="Times New Roman"/>
          <w:sz w:val="24"/>
          <w:szCs w:val="24"/>
        </w:rPr>
        <w:t xml:space="preserve">Determine the level of risk tolerance and develop strategies to manage or mitigate </w:t>
      </w:r>
      <w:r w:rsidR="005814B7">
        <w:rPr>
          <w:rFonts w:cs="Times New Roman"/>
          <w:sz w:val="24"/>
          <w:szCs w:val="24"/>
        </w:rPr>
        <w:t xml:space="preserve">the </w:t>
      </w:r>
      <w:r w:rsidRPr="005814B7">
        <w:rPr>
          <w:rFonts w:cs="Times New Roman"/>
          <w:sz w:val="24"/>
          <w:szCs w:val="24"/>
        </w:rPr>
        <w:t>identified risks.</w:t>
      </w:r>
    </w:p>
    <w:p w14:paraId="12A22C7A" w14:textId="3E32F757" w:rsidR="00A9150C" w:rsidRDefault="00A9150C" w:rsidP="00FB2F55">
      <w:pPr>
        <w:pStyle w:val="ListParagraph"/>
        <w:numPr>
          <w:ilvl w:val="0"/>
          <w:numId w:val="46"/>
        </w:numPr>
        <w:spacing w:after="0" w:line="240" w:lineRule="auto"/>
        <w:rPr>
          <w:rFonts w:cs="Times New Roman"/>
          <w:sz w:val="24"/>
          <w:szCs w:val="24"/>
        </w:rPr>
      </w:pPr>
      <w:r w:rsidRPr="005814B7">
        <w:rPr>
          <w:rFonts w:cs="Times New Roman"/>
          <w:sz w:val="24"/>
          <w:szCs w:val="24"/>
        </w:rPr>
        <w:t>Schedule regular meetings to review and update the risk management process throughout the project lifecycle.</w:t>
      </w:r>
    </w:p>
    <w:p w14:paraId="11E254FA" w14:textId="77777777" w:rsidR="005814B7" w:rsidRPr="005814B7" w:rsidRDefault="005814B7" w:rsidP="00FB2F55">
      <w:pPr>
        <w:pStyle w:val="ListParagraph"/>
        <w:spacing w:after="0" w:line="240" w:lineRule="auto"/>
        <w:rPr>
          <w:rFonts w:cs="Times New Roman"/>
          <w:sz w:val="24"/>
          <w:szCs w:val="24"/>
        </w:rPr>
      </w:pPr>
    </w:p>
    <w:p w14:paraId="7310CF5A" w14:textId="23D3D5F8" w:rsidR="005814B7" w:rsidRDefault="005814B7" w:rsidP="00FB2F55">
      <w:pPr>
        <w:pStyle w:val="Heading2"/>
        <w:spacing w:before="0" w:after="0" w:line="240" w:lineRule="auto"/>
        <w:rPr>
          <w:color w:val="auto"/>
        </w:rPr>
      </w:pPr>
      <w:r>
        <w:rPr>
          <w:color w:val="auto"/>
        </w:rPr>
        <w:t>(2) B</w:t>
      </w:r>
      <w:r w:rsidR="001B423A" w:rsidRPr="005814B7">
        <w:rPr>
          <w:color w:val="auto"/>
        </w:rPr>
        <w:t xml:space="preserve">egin early to </w:t>
      </w:r>
      <w:r>
        <w:rPr>
          <w:color w:val="auto"/>
        </w:rPr>
        <w:t>gain the</w:t>
      </w:r>
      <w:r w:rsidR="001B423A" w:rsidRPr="005814B7">
        <w:rPr>
          <w:color w:val="auto"/>
        </w:rPr>
        <w:t xml:space="preserve"> most effective</w:t>
      </w:r>
      <w:r>
        <w:rPr>
          <w:color w:val="auto"/>
        </w:rPr>
        <w:t>ness</w:t>
      </w:r>
      <w:r w:rsidR="001B423A" w:rsidRPr="005814B7">
        <w:rPr>
          <w:color w:val="auto"/>
        </w:rPr>
        <w:t xml:space="preserve">. </w:t>
      </w:r>
    </w:p>
    <w:p w14:paraId="21A6095E" w14:textId="25100808" w:rsidR="00830C78" w:rsidRPr="005814B7" w:rsidRDefault="00B043AF" w:rsidP="00FB2F55">
      <w:pPr>
        <w:pStyle w:val="Heading2"/>
        <w:spacing w:before="0" w:after="0" w:line="240" w:lineRule="auto"/>
        <w:ind w:firstLine="360"/>
        <w:rPr>
          <w:color w:val="auto"/>
        </w:rPr>
      </w:pPr>
      <w:r w:rsidRPr="005814B7">
        <w:rPr>
          <w:color w:val="auto"/>
        </w:rPr>
        <w:t>(</w:t>
      </w:r>
      <w:r w:rsidR="00DA085F" w:rsidRPr="005814B7">
        <w:rPr>
          <w:color w:val="auto"/>
        </w:rPr>
        <w:t>Project Phase:</w:t>
      </w:r>
      <w:r w:rsidR="0033299E" w:rsidRPr="005814B7">
        <w:rPr>
          <w:color w:val="auto"/>
        </w:rPr>
        <w:t xml:space="preserve"> Feasibility through Operate Facility</w:t>
      </w:r>
      <w:r w:rsidR="00DA085F" w:rsidRPr="005814B7">
        <w:rPr>
          <w:color w:val="auto"/>
        </w:rPr>
        <w:t>)</w:t>
      </w:r>
    </w:p>
    <w:p w14:paraId="732AB604" w14:textId="6DD3B540" w:rsidR="0094617E" w:rsidRPr="005814B7" w:rsidRDefault="0094617E" w:rsidP="00FB2F55">
      <w:pPr>
        <w:pStyle w:val="ListParagraph"/>
        <w:numPr>
          <w:ilvl w:val="0"/>
          <w:numId w:val="47"/>
        </w:numPr>
        <w:spacing w:after="0" w:line="240" w:lineRule="auto"/>
        <w:rPr>
          <w:rFonts w:cs="Times New Roman"/>
          <w:sz w:val="24"/>
          <w:szCs w:val="24"/>
        </w:rPr>
      </w:pPr>
      <w:r w:rsidRPr="005814B7">
        <w:rPr>
          <w:rFonts w:cs="Times New Roman"/>
          <w:sz w:val="24"/>
          <w:szCs w:val="24"/>
        </w:rPr>
        <w:t>Allocate resources and time in the project planning phase to identify, analyze, and develop risk mitigation approaches.</w:t>
      </w:r>
    </w:p>
    <w:p w14:paraId="4895A021" w14:textId="73D2E23B" w:rsidR="0094617E" w:rsidRPr="005814B7" w:rsidRDefault="0094617E" w:rsidP="00FB2F55">
      <w:pPr>
        <w:pStyle w:val="ListParagraph"/>
        <w:numPr>
          <w:ilvl w:val="0"/>
          <w:numId w:val="47"/>
        </w:numPr>
        <w:spacing w:after="0" w:line="240" w:lineRule="auto"/>
        <w:rPr>
          <w:rFonts w:cs="Times New Roman"/>
          <w:sz w:val="24"/>
          <w:szCs w:val="24"/>
        </w:rPr>
      </w:pPr>
      <w:r w:rsidRPr="005814B7">
        <w:rPr>
          <w:rFonts w:cs="Times New Roman"/>
          <w:sz w:val="24"/>
          <w:szCs w:val="24"/>
        </w:rPr>
        <w:t>Conduct a thorough risk assessment during the pre-project stage to establish a baseline of potential risks.</w:t>
      </w:r>
    </w:p>
    <w:p w14:paraId="2F2CE263" w14:textId="327C4AFB" w:rsidR="0094617E" w:rsidRPr="005814B7" w:rsidRDefault="0094617E" w:rsidP="00FB2F55">
      <w:pPr>
        <w:pStyle w:val="ListParagraph"/>
        <w:numPr>
          <w:ilvl w:val="0"/>
          <w:numId w:val="47"/>
        </w:numPr>
        <w:spacing w:after="0" w:line="240" w:lineRule="auto"/>
        <w:rPr>
          <w:rFonts w:cs="Times New Roman"/>
          <w:sz w:val="24"/>
          <w:szCs w:val="24"/>
        </w:rPr>
      </w:pPr>
      <w:r w:rsidRPr="005814B7">
        <w:rPr>
          <w:rFonts w:cs="Times New Roman"/>
          <w:sz w:val="24"/>
          <w:szCs w:val="24"/>
        </w:rPr>
        <w:t xml:space="preserve">Engage with stakeholders, including designers, contractors, and suppliers, early on </w:t>
      </w:r>
      <w:r w:rsidR="005814B7">
        <w:rPr>
          <w:rFonts w:cs="Times New Roman"/>
          <w:sz w:val="24"/>
          <w:szCs w:val="24"/>
        </w:rPr>
        <w:t xml:space="preserve">in the project </w:t>
      </w:r>
      <w:r w:rsidRPr="005814B7">
        <w:rPr>
          <w:rFonts w:cs="Times New Roman"/>
          <w:sz w:val="24"/>
          <w:szCs w:val="24"/>
        </w:rPr>
        <w:t>to gather information and insights about potential risks.</w:t>
      </w:r>
    </w:p>
    <w:p w14:paraId="67F5C5FB" w14:textId="05195D8B" w:rsidR="0094617E" w:rsidRPr="005814B7" w:rsidRDefault="0094617E" w:rsidP="00FB2F55">
      <w:pPr>
        <w:pStyle w:val="ListParagraph"/>
        <w:numPr>
          <w:ilvl w:val="0"/>
          <w:numId w:val="47"/>
        </w:numPr>
        <w:spacing w:after="0" w:line="240" w:lineRule="auto"/>
        <w:rPr>
          <w:rFonts w:cs="Times New Roman"/>
          <w:sz w:val="24"/>
          <w:szCs w:val="24"/>
        </w:rPr>
      </w:pPr>
      <w:r w:rsidRPr="005814B7">
        <w:rPr>
          <w:rFonts w:cs="Times New Roman"/>
          <w:sz w:val="24"/>
          <w:szCs w:val="24"/>
        </w:rPr>
        <w:t>Develop a comprehensive risk register that includes all identified risks and their corresponding mitigation strategies.</w:t>
      </w:r>
    </w:p>
    <w:p w14:paraId="7DCC9787" w14:textId="0389D416" w:rsidR="0094617E" w:rsidRDefault="0094617E" w:rsidP="00FB2F55">
      <w:pPr>
        <w:pStyle w:val="ListParagraph"/>
        <w:numPr>
          <w:ilvl w:val="0"/>
          <w:numId w:val="47"/>
        </w:numPr>
        <w:spacing w:after="0" w:line="240" w:lineRule="auto"/>
        <w:rPr>
          <w:rFonts w:cs="Times New Roman"/>
          <w:sz w:val="24"/>
          <w:szCs w:val="24"/>
        </w:rPr>
      </w:pPr>
      <w:r w:rsidRPr="005814B7">
        <w:rPr>
          <w:rFonts w:cs="Times New Roman"/>
          <w:sz w:val="24"/>
          <w:szCs w:val="24"/>
        </w:rPr>
        <w:lastRenderedPageBreak/>
        <w:t>Schedule regular meetings throughout the project lifecycle to review and update the risk management process.</w:t>
      </w:r>
    </w:p>
    <w:p w14:paraId="12B0161C" w14:textId="77777777" w:rsidR="005814B7" w:rsidRPr="005814B7" w:rsidRDefault="005814B7" w:rsidP="00FB2F55">
      <w:pPr>
        <w:pStyle w:val="ListParagraph"/>
        <w:spacing w:after="0" w:line="240" w:lineRule="auto"/>
        <w:rPr>
          <w:rFonts w:cs="Times New Roman"/>
          <w:sz w:val="24"/>
          <w:szCs w:val="24"/>
        </w:rPr>
      </w:pPr>
    </w:p>
    <w:p w14:paraId="7D2877B0" w14:textId="5E283612" w:rsidR="005814B7" w:rsidRDefault="005814B7" w:rsidP="00FB2F55">
      <w:pPr>
        <w:pStyle w:val="Heading2"/>
        <w:spacing w:before="0" w:after="0" w:line="240" w:lineRule="auto"/>
        <w:rPr>
          <w:color w:val="auto"/>
        </w:rPr>
      </w:pPr>
      <w:r>
        <w:rPr>
          <w:color w:val="auto"/>
        </w:rPr>
        <w:t>(3) Maintain</w:t>
      </w:r>
      <w:r w:rsidR="001F5BB5" w:rsidRPr="005814B7">
        <w:rPr>
          <w:color w:val="auto"/>
        </w:rPr>
        <w:t xml:space="preserve"> a broad perspective to </w:t>
      </w:r>
      <w:r>
        <w:rPr>
          <w:color w:val="auto"/>
        </w:rPr>
        <w:t>obtain</w:t>
      </w:r>
      <w:r w:rsidR="001F5BB5" w:rsidRPr="005814B7">
        <w:rPr>
          <w:color w:val="auto"/>
        </w:rPr>
        <w:t xml:space="preserve"> the diversified input required. </w:t>
      </w:r>
    </w:p>
    <w:p w14:paraId="7DB34570" w14:textId="70E0DA6D" w:rsidR="00D805A5" w:rsidRPr="005814B7" w:rsidRDefault="00DA085F" w:rsidP="00FB2F55">
      <w:pPr>
        <w:pStyle w:val="Heading2"/>
        <w:spacing w:before="0" w:after="0" w:line="240" w:lineRule="auto"/>
        <w:ind w:left="360"/>
        <w:rPr>
          <w:color w:val="auto"/>
        </w:rPr>
      </w:pPr>
      <w:r w:rsidRPr="005814B7">
        <w:rPr>
          <w:color w:val="auto"/>
        </w:rPr>
        <w:t>(Project Phase:</w:t>
      </w:r>
      <w:r w:rsidR="0033299E" w:rsidRPr="005814B7">
        <w:rPr>
          <w:color w:val="auto"/>
        </w:rPr>
        <w:t xml:space="preserve"> Detailed scope through Operate Facility</w:t>
      </w:r>
      <w:r w:rsidRPr="005814B7">
        <w:rPr>
          <w:color w:val="auto"/>
        </w:rPr>
        <w:t>)</w:t>
      </w:r>
    </w:p>
    <w:p w14:paraId="0275E2BF" w14:textId="2B40F017" w:rsidR="00F10C1B" w:rsidRPr="005814B7" w:rsidRDefault="00F10C1B" w:rsidP="00FB2F55">
      <w:pPr>
        <w:pStyle w:val="ListParagraph"/>
        <w:numPr>
          <w:ilvl w:val="0"/>
          <w:numId w:val="48"/>
        </w:numPr>
        <w:spacing w:after="0" w:line="240" w:lineRule="auto"/>
        <w:rPr>
          <w:rFonts w:cs="Times New Roman"/>
          <w:sz w:val="24"/>
          <w:szCs w:val="24"/>
        </w:rPr>
      </w:pPr>
      <w:r w:rsidRPr="005814B7">
        <w:rPr>
          <w:rFonts w:cs="Times New Roman"/>
          <w:sz w:val="24"/>
          <w:szCs w:val="24"/>
        </w:rPr>
        <w:t>Conduct regular meetings with project stakeholders to gather diverse perspectives and ideas.</w:t>
      </w:r>
    </w:p>
    <w:p w14:paraId="7F886A03" w14:textId="7C9C97A5" w:rsidR="00F10C1B" w:rsidRPr="005814B7" w:rsidRDefault="00F10C1B" w:rsidP="00FB2F55">
      <w:pPr>
        <w:pStyle w:val="ListParagraph"/>
        <w:numPr>
          <w:ilvl w:val="0"/>
          <w:numId w:val="48"/>
        </w:numPr>
        <w:spacing w:after="0" w:line="240" w:lineRule="auto"/>
        <w:rPr>
          <w:rFonts w:cs="Times New Roman"/>
          <w:sz w:val="24"/>
          <w:szCs w:val="24"/>
        </w:rPr>
      </w:pPr>
      <w:r w:rsidRPr="005814B7">
        <w:rPr>
          <w:rFonts w:cs="Times New Roman"/>
          <w:sz w:val="24"/>
          <w:szCs w:val="24"/>
        </w:rPr>
        <w:t>Invite experts from various fields to share their insights and experiences.</w:t>
      </w:r>
    </w:p>
    <w:p w14:paraId="2F57F0E0" w14:textId="46D076FA" w:rsidR="00F10C1B" w:rsidRPr="005814B7" w:rsidRDefault="00F10C1B" w:rsidP="00FB2F55">
      <w:pPr>
        <w:pStyle w:val="ListParagraph"/>
        <w:numPr>
          <w:ilvl w:val="0"/>
          <w:numId w:val="48"/>
        </w:numPr>
        <w:spacing w:after="0" w:line="240" w:lineRule="auto"/>
        <w:rPr>
          <w:rFonts w:cs="Times New Roman"/>
          <w:sz w:val="24"/>
          <w:szCs w:val="24"/>
        </w:rPr>
      </w:pPr>
      <w:r w:rsidRPr="005814B7">
        <w:rPr>
          <w:rFonts w:cs="Times New Roman"/>
          <w:sz w:val="24"/>
          <w:szCs w:val="24"/>
        </w:rPr>
        <w:t>Encourage open communication among team members to foster collaboration and creativity.</w:t>
      </w:r>
    </w:p>
    <w:p w14:paraId="5BC08EA0" w14:textId="55DB25CE" w:rsidR="00F10C1B" w:rsidRPr="005814B7" w:rsidRDefault="00F10C1B" w:rsidP="00FB2F55">
      <w:pPr>
        <w:pStyle w:val="ListParagraph"/>
        <w:numPr>
          <w:ilvl w:val="0"/>
          <w:numId w:val="48"/>
        </w:numPr>
        <w:spacing w:after="0" w:line="240" w:lineRule="auto"/>
        <w:rPr>
          <w:rFonts w:cs="Times New Roman"/>
          <w:sz w:val="24"/>
          <w:szCs w:val="24"/>
        </w:rPr>
      </w:pPr>
      <w:r w:rsidRPr="005814B7">
        <w:rPr>
          <w:rFonts w:cs="Times New Roman"/>
          <w:sz w:val="24"/>
          <w:szCs w:val="24"/>
        </w:rPr>
        <w:t>Establish a risk management committee to identify potential risks and develop mitigation strategies.</w:t>
      </w:r>
    </w:p>
    <w:p w14:paraId="640E4A27" w14:textId="2444F0E2" w:rsidR="00F10C1B" w:rsidRDefault="00F10C1B" w:rsidP="00FB2F55">
      <w:pPr>
        <w:pStyle w:val="ListParagraph"/>
        <w:numPr>
          <w:ilvl w:val="0"/>
          <w:numId w:val="48"/>
        </w:numPr>
        <w:spacing w:after="0" w:line="240" w:lineRule="auto"/>
        <w:rPr>
          <w:rFonts w:cs="Times New Roman"/>
          <w:sz w:val="24"/>
          <w:szCs w:val="24"/>
        </w:rPr>
      </w:pPr>
      <w:r w:rsidRPr="005814B7">
        <w:rPr>
          <w:rFonts w:cs="Times New Roman"/>
          <w:sz w:val="24"/>
          <w:szCs w:val="24"/>
        </w:rPr>
        <w:t>Analyze industry trends, market conditions, and regulatory requirements to inform project decisions.</w:t>
      </w:r>
    </w:p>
    <w:p w14:paraId="268396B4" w14:textId="77777777" w:rsidR="005814B7" w:rsidRPr="004771AE" w:rsidRDefault="005814B7" w:rsidP="00FB2F55">
      <w:pPr>
        <w:spacing w:after="0" w:line="240" w:lineRule="auto"/>
        <w:rPr>
          <w:rFonts w:cs="Times New Roman"/>
          <w:sz w:val="24"/>
          <w:szCs w:val="24"/>
        </w:rPr>
      </w:pPr>
    </w:p>
    <w:p w14:paraId="0114DB6B" w14:textId="183236F8" w:rsidR="005814B7" w:rsidRDefault="005814B7" w:rsidP="00FB2F55">
      <w:pPr>
        <w:pStyle w:val="Heading2"/>
        <w:spacing w:before="0" w:after="0" w:line="240" w:lineRule="auto"/>
        <w:rPr>
          <w:color w:val="auto"/>
        </w:rPr>
      </w:pPr>
      <w:r>
        <w:rPr>
          <w:color w:val="auto"/>
        </w:rPr>
        <w:t>(4) U</w:t>
      </w:r>
      <w:r w:rsidR="003E39EF" w:rsidRPr="005814B7">
        <w:rPr>
          <w:color w:val="auto"/>
        </w:rPr>
        <w:t>ndertake adequate pre-project planning, analysis, and engineering</w:t>
      </w:r>
      <w:r>
        <w:rPr>
          <w:color w:val="auto"/>
        </w:rPr>
        <w:t>.</w:t>
      </w:r>
      <w:r w:rsidR="003E39EF" w:rsidRPr="005814B7">
        <w:rPr>
          <w:color w:val="auto"/>
        </w:rPr>
        <w:t xml:space="preserve"> </w:t>
      </w:r>
    </w:p>
    <w:p w14:paraId="12B5FEC9" w14:textId="70301EA7" w:rsidR="002147F6" w:rsidRPr="005814B7" w:rsidRDefault="00DA085F" w:rsidP="00FB2F55">
      <w:pPr>
        <w:pStyle w:val="Heading2"/>
        <w:spacing w:before="0" w:after="0" w:line="240" w:lineRule="auto"/>
        <w:ind w:firstLine="360"/>
        <w:rPr>
          <w:color w:val="auto"/>
        </w:rPr>
      </w:pPr>
      <w:r w:rsidRPr="005814B7">
        <w:rPr>
          <w:color w:val="auto"/>
        </w:rPr>
        <w:t>(Project Phase:</w:t>
      </w:r>
      <w:r w:rsidR="000E3904" w:rsidRPr="005814B7">
        <w:rPr>
          <w:color w:val="auto"/>
        </w:rPr>
        <w:t xml:space="preserve"> Concept through Operate Facility</w:t>
      </w:r>
      <w:r w:rsidRPr="005814B7">
        <w:rPr>
          <w:color w:val="auto"/>
        </w:rPr>
        <w:t>)</w:t>
      </w:r>
    </w:p>
    <w:p w14:paraId="4B0D2A4D" w14:textId="00CBA04B" w:rsidR="00025825" w:rsidRPr="005814B7" w:rsidRDefault="00025825" w:rsidP="00FB2F55">
      <w:pPr>
        <w:pStyle w:val="ListParagraph"/>
        <w:numPr>
          <w:ilvl w:val="0"/>
          <w:numId w:val="49"/>
        </w:numPr>
        <w:spacing w:after="0" w:line="240" w:lineRule="auto"/>
        <w:rPr>
          <w:rFonts w:cs="Times New Roman"/>
          <w:sz w:val="24"/>
          <w:szCs w:val="24"/>
        </w:rPr>
      </w:pPr>
      <w:r w:rsidRPr="005814B7">
        <w:rPr>
          <w:rFonts w:cs="Times New Roman"/>
          <w:sz w:val="24"/>
          <w:szCs w:val="24"/>
        </w:rPr>
        <w:t xml:space="preserve">Utilize tools such as </w:t>
      </w:r>
      <w:r w:rsidR="005814B7">
        <w:rPr>
          <w:rFonts w:cs="Times New Roman"/>
          <w:sz w:val="24"/>
          <w:szCs w:val="24"/>
        </w:rPr>
        <w:t xml:space="preserve">the </w:t>
      </w:r>
      <w:r w:rsidRPr="005814B7">
        <w:rPr>
          <w:rFonts w:cs="Times New Roman"/>
          <w:sz w:val="24"/>
          <w:szCs w:val="24"/>
        </w:rPr>
        <w:t>Project Definition Rating Index</w:t>
      </w:r>
      <w:r w:rsidR="005814B7">
        <w:rPr>
          <w:rFonts w:cs="Times New Roman"/>
          <w:sz w:val="24"/>
          <w:szCs w:val="24"/>
        </w:rPr>
        <w:t xml:space="preserve"> (PDRI</w:t>
      </w:r>
      <w:r w:rsidRPr="005814B7">
        <w:rPr>
          <w:rFonts w:cs="Times New Roman"/>
          <w:sz w:val="24"/>
          <w:szCs w:val="24"/>
        </w:rPr>
        <w:t>) to conduct thorough project definition and rating</w:t>
      </w:r>
      <w:r w:rsidR="005814B7">
        <w:rPr>
          <w:rFonts w:cs="Times New Roman"/>
          <w:sz w:val="24"/>
          <w:szCs w:val="24"/>
        </w:rPr>
        <w:t>.</w:t>
      </w:r>
    </w:p>
    <w:p w14:paraId="531CA62F" w14:textId="1ED1161E" w:rsidR="00025825" w:rsidRPr="005814B7" w:rsidRDefault="00025825" w:rsidP="00FB2F55">
      <w:pPr>
        <w:pStyle w:val="ListParagraph"/>
        <w:numPr>
          <w:ilvl w:val="0"/>
          <w:numId w:val="49"/>
        </w:numPr>
        <w:spacing w:after="0" w:line="240" w:lineRule="auto"/>
        <w:rPr>
          <w:rFonts w:cs="Times New Roman"/>
          <w:sz w:val="24"/>
          <w:szCs w:val="24"/>
        </w:rPr>
      </w:pPr>
      <w:r w:rsidRPr="005814B7">
        <w:rPr>
          <w:rFonts w:cs="Times New Roman"/>
          <w:sz w:val="24"/>
          <w:szCs w:val="24"/>
        </w:rPr>
        <w:t>Conduct comprehensive risk assessments to identify potential risks</w:t>
      </w:r>
      <w:r w:rsidR="005814B7">
        <w:rPr>
          <w:rFonts w:cs="Times New Roman"/>
          <w:sz w:val="24"/>
          <w:szCs w:val="24"/>
        </w:rPr>
        <w:t>,</w:t>
      </w:r>
      <w:r w:rsidRPr="005814B7">
        <w:rPr>
          <w:rFonts w:cs="Times New Roman"/>
          <w:sz w:val="24"/>
          <w:szCs w:val="24"/>
        </w:rPr>
        <w:t xml:space="preserve"> and develop mitigation strategies.</w:t>
      </w:r>
    </w:p>
    <w:p w14:paraId="0D204D97" w14:textId="4F65B872" w:rsidR="00025825" w:rsidRPr="005814B7" w:rsidRDefault="00025825" w:rsidP="00FB2F55">
      <w:pPr>
        <w:pStyle w:val="ListParagraph"/>
        <w:numPr>
          <w:ilvl w:val="0"/>
          <w:numId w:val="49"/>
        </w:numPr>
        <w:spacing w:after="0" w:line="240" w:lineRule="auto"/>
        <w:rPr>
          <w:rFonts w:cs="Times New Roman"/>
          <w:sz w:val="24"/>
          <w:szCs w:val="24"/>
        </w:rPr>
      </w:pPr>
      <w:r w:rsidRPr="005814B7">
        <w:rPr>
          <w:rFonts w:cs="Times New Roman"/>
          <w:sz w:val="24"/>
          <w:szCs w:val="24"/>
        </w:rPr>
        <w:t>Engage with stakeholders, including architects, engineers, and contractors, to gather input on project requirements and feasibility.</w:t>
      </w:r>
    </w:p>
    <w:p w14:paraId="2B4D5EA4" w14:textId="66D21879" w:rsidR="00025825" w:rsidRPr="005814B7" w:rsidRDefault="00025825" w:rsidP="00FB2F55">
      <w:pPr>
        <w:pStyle w:val="ListParagraph"/>
        <w:numPr>
          <w:ilvl w:val="0"/>
          <w:numId w:val="49"/>
        </w:numPr>
        <w:spacing w:after="0" w:line="240" w:lineRule="auto"/>
        <w:rPr>
          <w:rFonts w:cs="Times New Roman"/>
          <w:sz w:val="24"/>
          <w:szCs w:val="24"/>
        </w:rPr>
      </w:pPr>
      <w:r w:rsidRPr="005814B7">
        <w:rPr>
          <w:rFonts w:cs="Times New Roman"/>
          <w:sz w:val="24"/>
          <w:szCs w:val="24"/>
        </w:rPr>
        <w:t xml:space="preserve">Perform detailed analysis of </w:t>
      </w:r>
      <w:r w:rsidR="00E1197B">
        <w:rPr>
          <w:rFonts w:cs="Times New Roman"/>
          <w:sz w:val="24"/>
          <w:szCs w:val="24"/>
        </w:rPr>
        <w:t xml:space="preserve">the </w:t>
      </w:r>
      <w:r w:rsidRPr="005814B7">
        <w:rPr>
          <w:rFonts w:cs="Times New Roman"/>
          <w:sz w:val="24"/>
          <w:szCs w:val="24"/>
        </w:rPr>
        <w:t>project scope, schedule, budget, and resources to ensure a solid foundation for the project.</w:t>
      </w:r>
    </w:p>
    <w:p w14:paraId="5254D17D" w14:textId="77777777" w:rsidR="00E1197B" w:rsidRDefault="00025825" w:rsidP="00FB2F55">
      <w:pPr>
        <w:pStyle w:val="ListParagraph"/>
        <w:numPr>
          <w:ilvl w:val="0"/>
          <w:numId w:val="49"/>
        </w:numPr>
        <w:spacing w:after="0" w:line="240" w:lineRule="auto"/>
        <w:rPr>
          <w:rFonts w:cs="Times New Roman"/>
          <w:sz w:val="24"/>
          <w:szCs w:val="24"/>
        </w:rPr>
      </w:pPr>
      <w:r w:rsidRPr="005814B7">
        <w:rPr>
          <w:rFonts w:cs="Times New Roman"/>
          <w:sz w:val="24"/>
          <w:szCs w:val="24"/>
        </w:rPr>
        <w:t>Develop a robust quality assurance plan to ensure compliance with industry standards and regulations.</w:t>
      </w:r>
    </w:p>
    <w:p w14:paraId="4B2051D2" w14:textId="2501D4FE" w:rsidR="00830C78" w:rsidRPr="005814B7" w:rsidRDefault="00605512" w:rsidP="00FB2F55">
      <w:pPr>
        <w:pStyle w:val="ListParagraph"/>
        <w:spacing w:after="0" w:line="240" w:lineRule="auto"/>
        <w:rPr>
          <w:rFonts w:cs="Times New Roman"/>
          <w:sz w:val="24"/>
          <w:szCs w:val="24"/>
        </w:rPr>
      </w:pPr>
      <w:r w:rsidRPr="005814B7">
        <w:rPr>
          <w:rFonts w:cs="Times New Roman"/>
          <w:sz w:val="24"/>
          <w:szCs w:val="24"/>
        </w:rPr>
        <w:tab/>
      </w:r>
    </w:p>
    <w:p w14:paraId="70C50A0C" w14:textId="521F6618" w:rsidR="00E1197B" w:rsidRDefault="00E1197B" w:rsidP="00FB2F55">
      <w:pPr>
        <w:pStyle w:val="Heading2"/>
        <w:spacing w:before="0" w:after="0" w:line="240" w:lineRule="auto"/>
        <w:rPr>
          <w:color w:val="auto"/>
        </w:rPr>
      </w:pPr>
      <w:r>
        <w:rPr>
          <w:color w:val="auto"/>
        </w:rPr>
        <w:t>(5) P</w:t>
      </w:r>
      <w:r w:rsidR="00CE2384" w:rsidRPr="005814B7">
        <w:rPr>
          <w:color w:val="auto"/>
        </w:rPr>
        <w:t xml:space="preserve">artner with owner and contractor management. </w:t>
      </w:r>
    </w:p>
    <w:p w14:paraId="6675ED00" w14:textId="5FB2FDF2" w:rsidR="005205BD" w:rsidRPr="005814B7" w:rsidRDefault="00DA085F" w:rsidP="00FB2F55">
      <w:pPr>
        <w:pStyle w:val="Heading2"/>
        <w:spacing w:before="0" w:after="0" w:line="240" w:lineRule="auto"/>
        <w:ind w:left="360"/>
        <w:rPr>
          <w:color w:val="auto"/>
        </w:rPr>
      </w:pPr>
      <w:r w:rsidRPr="005814B7">
        <w:rPr>
          <w:color w:val="auto"/>
        </w:rPr>
        <w:t>(Project Phase:</w:t>
      </w:r>
      <w:r w:rsidR="00425510" w:rsidRPr="005814B7">
        <w:rPr>
          <w:color w:val="auto"/>
        </w:rPr>
        <w:t xml:space="preserve"> Feasibility through </w:t>
      </w:r>
      <w:r w:rsidR="0069000B" w:rsidRPr="005814B7">
        <w:rPr>
          <w:color w:val="auto"/>
        </w:rPr>
        <w:t>Operate Facility</w:t>
      </w:r>
      <w:r w:rsidRPr="005814B7">
        <w:rPr>
          <w:color w:val="auto"/>
        </w:rPr>
        <w:t>)</w:t>
      </w:r>
    </w:p>
    <w:p w14:paraId="69658849" w14:textId="77007B98" w:rsidR="002D48FA" w:rsidRPr="005814B7" w:rsidRDefault="002D48FA" w:rsidP="00FB2F55">
      <w:pPr>
        <w:pStyle w:val="ListParagraph"/>
        <w:numPr>
          <w:ilvl w:val="0"/>
          <w:numId w:val="50"/>
        </w:numPr>
        <w:spacing w:after="0" w:line="240" w:lineRule="auto"/>
        <w:rPr>
          <w:rFonts w:cs="Times New Roman"/>
          <w:sz w:val="24"/>
          <w:szCs w:val="24"/>
        </w:rPr>
      </w:pPr>
      <w:r w:rsidRPr="005814B7">
        <w:rPr>
          <w:rFonts w:cs="Times New Roman"/>
          <w:sz w:val="24"/>
          <w:szCs w:val="24"/>
        </w:rPr>
        <w:t>Collaborate closely with project stakeholders to identify potential risks and develop mitigation strategies.</w:t>
      </w:r>
    </w:p>
    <w:p w14:paraId="772A3C2C" w14:textId="39A9FA07" w:rsidR="002D48FA" w:rsidRPr="005814B7" w:rsidRDefault="002D48FA" w:rsidP="00FB2F55">
      <w:pPr>
        <w:pStyle w:val="ListParagraph"/>
        <w:numPr>
          <w:ilvl w:val="0"/>
          <w:numId w:val="50"/>
        </w:numPr>
        <w:spacing w:after="0" w:line="240" w:lineRule="auto"/>
        <w:rPr>
          <w:rFonts w:cs="Times New Roman"/>
          <w:sz w:val="24"/>
          <w:szCs w:val="24"/>
        </w:rPr>
      </w:pPr>
      <w:r w:rsidRPr="005814B7">
        <w:rPr>
          <w:rFonts w:cs="Times New Roman"/>
          <w:sz w:val="24"/>
          <w:szCs w:val="24"/>
        </w:rPr>
        <w:t xml:space="preserve">Engage in open communication with contractors and designers to ensure that all parties understand </w:t>
      </w:r>
      <w:r w:rsidR="00E1197B">
        <w:rPr>
          <w:rFonts w:cs="Times New Roman"/>
          <w:sz w:val="24"/>
          <w:szCs w:val="24"/>
        </w:rPr>
        <w:t xml:space="preserve">the </w:t>
      </w:r>
      <w:r w:rsidRPr="005814B7">
        <w:rPr>
          <w:rFonts w:cs="Times New Roman"/>
          <w:sz w:val="24"/>
          <w:szCs w:val="24"/>
        </w:rPr>
        <w:t>project</w:t>
      </w:r>
      <w:r w:rsidR="00E1197B">
        <w:rPr>
          <w:rFonts w:cs="Times New Roman"/>
          <w:sz w:val="24"/>
          <w:szCs w:val="24"/>
        </w:rPr>
        <w:t>’s</w:t>
      </w:r>
      <w:r w:rsidRPr="005814B7">
        <w:rPr>
          <w:rFonts w:cs="Times New Roman"/>
          <w:sz w:val="24"/>
          <w:szCs w:val="24"/>
        </w:rPr>
        <w:t xml:space="preserve"> requirements and expectations.</w:t>
      </w:r>
    </w:p>
    <w:p w14:paraId="2A535427" w14:textId="18BB177F" w:rsidR="002D48FA" w:rsidRPr="005814B7" w:rsidRDefault="002D48FA" w:rsidP="00FB2F55">
      <w:pPr>
        <w:pStyle w:val="ListParagraph"/>
        <w:numPr>
          <w:ilvl w:val="0"/>
          <w:numId w:val="50"/>
        </w:numPr>
        <w:spacing w:after="0" w:line="240" w:lineRule="auto"/>
        <w:rPr>
          <w:rFonts w:cs="Times New Roman"/>
          <w:sz w:val="24"/>
          <w:szCs w:val="24"/>
        </w:rPr>
      </w:pPr>
      <w:r w:rsidRPr="005814B7">
        <w:rPr>
          <w:rFonts w:cs="Times New Roman"/>
          <w:sz w:val="24"/>
          <w:szCs w:val="24"/>
        </w:rPr>
        <w:t>Work together with the contractor to establish a schedule that takes into account local design service approval processes.</w:t>
      </w:r>
    </w:p>
    <w:p w14:paraId="59D032DC" w14:textId="6DB01A4C" w:rsidR="002D48FA" w:rsidRPr="005814B7" w:rsidRDefault="002D48FA" w:rsidP="00FB2F55">
      <w:pPr>
        <w:pStyle w:val="ListParagraph"/>
        <w:numPr>
          <w:ilvl w:val="0"/>
          <w:numId w:val="50"/>
        </w:numPr>
        <w:spacing w:after="0" w:line="240" w:lineRule="auto"/>
        <w:rPr>
          <w:rFonts w:cs="Times New Roman"/>
          <w:sz w:val="24"/>
          <w:szCs w:val="24"/>
        </w:rPr>
      </w:pPr>
      <w:r w:rsidRPr="005814B7">
        <w:rPr>
          <w:rFonts w:cs="Times New Roman"/>
          <w:sz w:val="24"/>
          <w:szCs w:val="24"/>
        </w:rPr>
        <w:t xml:space="preserve">Provide necessary support and resources to help the contractor manage cash flow issues </w:t>
      </w:r>
      <w:r w:rsidR="00E1197B">
        <w:rPr>
          <w:rFonts w:cs="Times New Roman"/>
          <w:sz w:val="24"/>
          <w:szCs w:val="24"/>
        </w:rPr>
        <w:t xml:space="preserve">that may </w:t>
      </w:r>
      <w:r w:rsidRPr="005814B7">
        <w:rPr>
          <w:rFonts w:cs="Times New Roman"/>
          <w:sz w:val="24"/>
          <w:szCs w:val="24"/>
        </w:rPr>
        <w:t>result from VAT and tax implications.</w:t>
      </w:r>
    </w:p>
    <w:p w14:paraId="76853A34" w14:textId="67710DAD" w:rsidR="002D48FA" w:rsidRDefault="002D48FA" w:rsidP="00FB2F55">
      <w:pPr>
        <w:pStyle w:val="ListParagraph"/>
        <w:numPr>
          <w:ilvl w:val="0"/>
          <w:numId w:val="50"/>
        </w:numPr>
        <w:spacing w:after="0" w:line="240" w:lineRule="auto"/>
        <w:rPr>
          <w:rFonts w:cs="Times New Roman"/>
          <w:sz w:val="24"/>
          <w:szCs w:val="24"/>
        </w:rPr>
      </w:pPr>
      <w:r w:rsidRPr="005814B7">
        <w:rPr>
          <w:rFonts w:cs="Times New Roman"/>
          <w:sz w:val="24"/>
          <w:szCs w:val="24"/>
        </w:rPr>
        <w:t>Foster a collaborative environment by recognizing the importance of experience in a jurisdiction for effective risk management.</w:t>
      </w:r>
    </w:p>
    <w:p w14:paraId="15BE2874" w14:textId="77777777" w:rsidR="00E1197B" w:rsidRPr="005814B7" w:rsidRDefault="00E1197B" w:rsidP="00FB2F55">
      <w:pPr>
        <w:pStyle w:val="ListParagraph"/>
        <w:spacing w:after="0" w:line="240" w:lineRule="auto"/>
        <w:rPr>
          <w:rFonts w:cs="Times New Roman"/>
          <w:sz w:val="24"/>
          <w:szCs w:val="24"/>
        </w:rPr>
      </w:pPr>
    </w:p>
    <w:p w14:paraId="006EA3B2" w14:textId="27FE3F09" w:rsidR="00E1197B" w:rsidRDefault="00E1197B" w:rsidP="00FB2F55">
      <w:pPr>
        <w:pStyle w:val="Heading2"/>
        <w:spacing w:before="0" w:after="0" w:line="240" w:lineRule="auto"/>
        <w:rPr>
          <w:color w:val="auto"/>
        </w:rPr>
      </w:pPr>
      <w:r>
        <w:rPr>
          <w:color w:val="auto"/>
        </w:rPr>
        <w:t>(6) R</w:t>
      </w:r>
      <w:r w:rsidR="00164CD2" w:rsidRPr="005814B7">
        <w:rPr>
          <w:color w:val="auto"/>
        </w:rPr>
        <w:t xml:space="preserve">ecognize that certain projects are more prone to risk </w:t>
      </w:r>
      <w:r>
        <w:rPr>
          <w:color w:val="auto"/>
        </w:rPr>
        <w:t>than other</w:t>
      </w:r>
      <w:r w:rsidR="00D56E53">
        <w:rPr>
          <w:color w:val="auto"/>
        </w:rPr>
        <w:t>s</w:t>
      </w:r>
      <w:r>
        <w:rPr>
          <w:color w:val="auto"/>
        </w:rPr>
        <w:t xml:space="preserve"> </w:t>
      </w:r>
      <w:r w:rsidR="00164CD2" w:rsidRPr="005814B7">
        <w:rPr>
          <w:color w:val="auto"/>
        </w:rPr>
        <w:t>and that experience in a jurisdiction is important</w:t>
      </w:r>
      <w:r>
        <w:rPr>
          <w:color w:val="auto"/>
        </w:rPr>
        <w:t>.</w:t>
      </w:r>
    </w:p>
    <w:p w14:paraId="12EF6D2D" w14:textId="6B10D956" w:rsidR="00CB4D3D" w:rsidRPr="005814B7" w:rsidRDefault="00CB4D3D" w:rsidP="00FB2F55">
      <w:pPr>
        <w:pStyle w:val="Heading2"/>
        <w:spacing w:before="0" w:after="0" w:line="240" w:lineRule="auto"/>
        <w:ind w:left="360"/>
        <w:rPr>
          <w:color w:val="auto"/>
        </w:rPr>
      </w:pPr>
      <w:r w:rsidRPr="005814B7">
        <w:rPr>
          <w:color w:val="auto"/>
        </w:rPr>
        <w:t>(Project Phase:</w:t>
      </w:r>
      <w:r w:rsidR="0069000B" w:rsidRPr="005814B7">
        <w:rPr>
          <w:color w:val="auto"/>
        </w:rPr>
        <w:t xml:space="preserve"> Feasibility through Operate Facility</w:t>
      </w:r>
      <w:r w:rsidRPr="005814B7">
        <w:rPr>
          <w:color w:val="auto"/>
        </w:rPr>
        <w:t>)</w:t>
      </w:r>
    </w:p>
    <w:p w14:paraId="207C9F12" w14:textId="776E63D4" w:rsidR="00F57F83" w:rsidRPr="005814B7" w:rsidRDefault="00F57F83" w:rsidP="00FB2F55">
      <w:pPr>
        <w:pStyle w:val="ListParagraph"/>
        <w:numPr>
          <w:ilvl w:val="0"/>
          <w:numId w:val="51"/>
        </w:numPr>
        <w:spacing w:after="0" w:line="240" w:lineRule="auto"/>
        <w:rPr>
          <w:rFonts w:cs="Times New Roman"/>
          <w:sz w:val="24"/>
          <w:szCs w:val="24"/>
        </w:rPr>
      </w:pPr>
      <w:r w:rsidRPr="005814B7">
        <w:rPr>
          <w:rFonts w:cs="Times New Roman"/>
          <w:sz w:val="24"/>
          <w:szCs w:val="24"/>
        </w:rPr>
        <w:t>Identify high-risk projects based on factors such as project type, location, and complexity.</w:t>
      </w:r>
    </w:p>
    <w:p w14:paraId="67EF44BC" w14:textId="2EDE0683" w:rsidR="00F57F83" w:rsidRPr="005814B7" w:rsidRDefault="00F57F83" w:rsidP="00FB2F55">
      <w:pPr>
        <w:pStyle w:val="ListParagraph"/>
        <w:numPr>
          <w:ilvl w:val="0"/>
          <w:numId w:val="51"/>
        </w:numPr>
        <w:spacing w:after="0" w:line="240" w:lineRule="auto"/>
        <w:rPr>
          <w:rFonts w:cs="Times New Roman"/>
          <w:sz w:val="24"/>
          <w:szCs w:val="24"/>
        </w:rPr>
      </w:pPr>
      <w:r w:rsidRPr="005814B7">
        <w:rPr>
          <w:rFonts w:cs="Times New Roman"/>
          <w:sz w:val="24"/>
          <w:szCs w:val="24"/>
        </w:rPr>
        <w:lastRenderedPageBreak/>
        <w:t>Assess the importance of local knowledge and expertise when selecting contractors or designers for international projects.</w:t>
      </w:r>
    </w:p>
    <w:p w14:paraId="612CE046" w14:textId="79B8EA33" w:rsidR="00F57F83" w:rsidRPr="005814B7" w:rsidRDefault="00F57F83" w:rsidP="00FB2F55">
      <w:pPr>
        <w:pStyle w:val="ListParagraph"/>
        <w:numPr>
          <w:ilvl w:val="0"/>
          <w:numId w:val="51"/>
        </w:numPr>
        <w:spacing w:after="0" w:line="240" w:lineRule="auto"/>
        <w:rPr>
          <w:rFonts w:cs="Times New Roman"/>
          <w:sz w:val="24"/>
          <w:szCs w:val="24"/>
        </w:rPr>
      </w:pPr>
      <w:r w:rsidRPr="005814B7">
        <w:rPr>
          <w:rFonts w:cs="Times New Roman"/>
          <w:sz w:val="24"/>
          <w:szCs w:val="24"/>
        </w:rPr>
        <w:t>Consider hiring experienced professionals with knowledge of specific jurisdictions to mitigate risks associated with unfamiliar markets.</w:t>
      </w:r>
    </w:p>
    <w:p w14:paraId="11A4C090" w14:textId="507E3492" w:rsidR="00F57F83" w:rsidRPr="005814B7" w:rsidRDefault="00F57F83" w:rsidP="00FB2F55">
      <w:pPr>
        <w:pStyle w:val="ListParagraph"/>
        <w:numPr>
          <w:ilvl w:val="0"/>
          <w:numId w:val="51"/>
        </w:numPr>
        <w:spacing w:after="0" w:line="240" w:lineRule="auto"/>
        <w:rPr>
          <w:rFonts w:cs="Times New Roman"/>
          <w:sz w:val="24"/>
          <w:szCs w:val="24"/>
        </w:rPr>
      </w:pPr>
      <w:r w:rsidRPr="005814B7">
        <w:rPr>
          <w:rFonts w:cs="Times New Roman"/>
          <w:sz w:val="24"/>
          <w:szCs w:val="24"/>
        </w:rPr>
        <w:t xml:space="preserve">Develop a risk assessment framework that takes into account the experience in a jurisdiction and </w:t>
      </w:r>
      <w:r w:rsidR="008E6664">
        <w:rPr>
          <w:rFonts w:cs="Times New Roman"/>
          <w:sz w:val="24"/>
          <w:szCs w:val="24"/>
        </w:rPr>
        <w:t xml:space="preserve">the </w:t>
      </w:r>
      <w:r w:rsidRPr="005814B7">
        <w:rPr>
          <w:rFonts w:cs="Times New Roman"/>
          <w:sz w:val="24"/>
          <w:szCs w:val="24"/>
        </w:rPr>
        <w:t xml:space="preserve">potential risks related to </w:t>
      </w:r>
      <w:r w:rsidR="008E6664">
        <w:rPr>
          <w:rFonts w:cs="Times New Roman"/>
          <w:sz w:val="24"/>
          <w:szCs w:val="24"/>
        </w:rPr>
        <w:t xml:space="preserve">the </w:t>
      </w:r>
      <w:r w:rsidRPr="005814B7">
        <w:rPr>
          <w:rFonts w:cs="Times New Roman"/>
          <w:sz w:val="24"/>
          <w:szCs w:val="24"/>
        </w:rPr>
        <w:t>project scope, schedule, and budget.</w:t>
      </w:r>
    </w:p>
    <w:p w14:paraId="7A186876" w14:textId="3652BBEB" w:rsidR="00F57F83" w:rsidRDefault="00F57F83" w:rsidP="00FB2F55">
      <w:pPr>
        <w:pStyle w:val="ListParagraph"/>
        <w:numPr>
          <w:ilvl w:val="0"/>
          <w:numId w:val="51"/>
        </w:numPr>
        <w:spacing w:after="0" w:line="240" w:lineRule="auto"/>
        <w:rPr>
          <w:rFonts w:cs="Times New Roman"/>
          <w:sz w:val="24"/>
          <w:szCs w:val="24"/>
        </w:rPr>
      </w:pPr>
      <w:r w:rsidRPr="005814B7">
        <w:rPr>
          <w:rFonts w:cs="Times New Roman"/>
          <w:sz w:val="24"/>
          <w:szCs w:val="24"/>
        </w:rPr>
        <w:t>Prioritize projects based on their level of complexity and potential risks, allocating more resources and attention to high-risk initiatives.</w:t>
      </w:r>
    </w:p>
    <w:p w14:paraId="496D14B6" w14:textId="77777777" w:rsidR="008E6664" w:rsidRPr="000E4EED" w:rsidRDefault="008E6664" w:rsidP="000E4EED">
      <w:pPr>
        <w:spacing w:after="0" w:line="240" w:lineRule="auto"/>
        <w:rPr>
          <w:rFonts w:cs="Times New Roman"/>
          <w:sz w:val="24"/>
          <w:szCs w:val="24"/>
        </w:rPr>
      </w:pPr>
    </w:p>
    <w:p w14:paraId="1C0B7176" w14:textId="678B662D" w:rsidR="008E6664" w:rsidRDefault="008E6664" w:rsidP="00FB2F55">
      <w:pPr>
        <w:pStyle w:val="Heading2"/>
        <w:spacing w:before="0" w:after="0" w:line="240" w:lineRule="auto"/>
        <w:rPr>
          <w:color w:val="auto"/>
        </w:rPr>
      </w:pPr>
      <w:r>
        <w:rPr>
          <w:color w:val="auto"/>
        </w:rPr>
        <w:t>(7) D</w:t>
      </w:r>
      <w:r w:rsidR="002E6A4F" w:rsidRPr="005814B7">
        <w:rPr>
          <w:color w:val="auto"/>
        </w:rPr>
        <w:t>ocument risk management results to improve project efficiency and reduce costs through sharing</w:t>
      </w:r>
      <w:r>
        <w:rPr>
          <w:color w:val="auto"/>
        </w:rPr>
        <w:t xml:space="preserve"> information</w:t>
      </w:r>
      <w:r w:rsidR="002E6A4F" w:rsidRPr="005814B7">
        <w:rPr>
          <w:color w:val="auto"/>
        </w:rPr>
        <w:t xml:space="preserve">. </w:t>
      </w:r>
    </w:p>
    <w:p w14:paraId="5B433F64" w14:textId="71FD434A" w:rsidR="00CB4D3D" w:rsidRPr="005814B7" w:rsidRDefault="00CB4D3D" w:rsidP="00FB2F55">
      <w:pPr>
        <w:pStyle w:val="Heading2"/>
        <w:spacing w:before="0" w:after="0" w:line="240" w:lineRule="auto"/>
        <w:ind w:left="360"/>
        <w:rPr>
          <w:color w:val="auto"/>
        </w:rPr>
      </w:pPr>
      <w:r w:rsidRPr="005814B7">
        <w:rPr>
          <w:color w:val="auto"/>
        </w:rPr>
        <w:t>(Project Phase:</w:t>
      </w:r>
      <w:r w:rsidR="00B011E6" w:rsidRPr="005814B7">
        <w:rPr>
          <w:color w:val="auto"/>
        </w:rPr>
        <w:t xml:space="preserve"> Feasibility through Operate Facility</w:t>
      </w:r>
      <w:r w:rsidRPr="005814B7">
        <w:rPr>
          <w:color w:val="auto"/>
        </w:rPr>
        <w:t>)</w:t>
      </w:r>
    </w:p>
    <w:p w14:paraId="7F9FA60F" w14:textId="461789C7" w:rsidR="008912FC" w:rsidRPr="005814B7" w:rsidRDefault="008912FC" w:rsidP="00FB2F55">
      <w:pPr>
        <w:pStyle w:val="ListParagraph"/>
        <w:numPr>
          <w:ilvl w:val="0"/>
          <w:numId w:val="52"/>
        </w:numPr>
        <w:spacing w:after="0" w:line="240" w:lineRule="auto"/>
        <w:rPr>
          <w:rFonts w:cs="Times New Roman"/>
          <w:sz w:val="24"/>
          <w:szCs w:val="24"/>
        </w:rPr>
      </w:pPr>
      <w:r w:rsidRPr="005814B7">
        <w:rPr>
          <w:rFonts w:cs="Times New Roman"/>
          <w:sz w:val="24"/>
          <w:szCs w:val="24"/>
        </w:rPr>
        <w:t>Identify and document all potential risks associated with international projects in a centralized risk register.</w:t>
      </w:r>
    </w:p>
    <w:p w14:paraId="2AB27A19" w14:textId="51EEFB90" w:rsidR="008912FC" w:rsidRPr="005814B7" w:rsidRDefault="008912FC" w:rsidP="00FB2F55">
      <w:pPr>
        <w:pStyle w:val="ListParagraph"/>
        <w:numPr>
          <w:ilvl w:val="0"/>
          <w:numId w:val="52"/>
        </w:numPr>
        <w:spacing w:after="0" w:line="240" w:lineRule="auto"/>
        <w:rPr>
          <w:rFonts w:cs="Times New Roman"/>
          <w:sz w:val="24"/>
          <w:szCs w:val="24"/>
        </w:rPr>
      </w:pPr>
      <w:r w:rsidRPr="005814B7">
        <w:rPr>
          <w:rFonts w:cs="Times New Roman"/>
          <w:sz w:val="24"/>
          <w:szCs w:val="24"/>
        </w:rPr>
        <w:t xml:space="preserve">Develop a standardized risk assessment framework to ensure </w:t>
      </w:r>
      <w:r w:rsidR="008E6664">
        <w:rPr>
          <w:rFonts w:cs="Times New Roman"/>
          <w:sz w:val="24"/>
          <w:szCs w:val="24"/>
        </w:rPr>
        <w:t xml:space="preserve">the </w:t>
      </w:r>
      <w:r w:rsidRPr="005814B7">
        <w:rPr>
          <w:rFonts w:cs="Times New Roman"/>
          <w:sz w:val="24"/>
          <w:szCs w:val="24"/>
        </w:rPr>
        <w:t>consistent evaluation of project-specific risks.</w:t>
      </w:r>
    </w:p>
    <w:p w14:paraId="1C02D33F" w14:textId="437A3B6B" w:rsidR="008912FC" w:rsidRPr="005814B7" w:rsidRDefault="008912FC" w:rsidP="00FB2F55">
      <w:pPr>
        <w:pStyle w:val="ListParagraph"/>
        <w:numPr>
          <w:ilvl w:val="0"/>
          <w:numId w:val="52"/>
        </w:numPr>
        <w:spacing w:after="0" w:line="240" w:lineRule="auto"/>
        <w:rPr>
          <w:rFonts w:cs="Times New Roman"/>
          <w:sz w:val="24"/>
          <w:szCs w:val="24"/>
        </w:rPr>
      </w:pPr>
      <w:r w:rsidRPr="005814B7">
        <w:rPr>
          <w:rFonts w:cs="Times New Roman"/>
          <w:sz w:val="24"/>
          <w:szCs w:val="24"/>
        </w:rPr>
        <w:t>Establish clear procedures for documenting and tracking mitigation strategies and their effectiveness.</w:t>
      </w:r>
    </w:p>
    <w:p w14:paraId="336EDA46" w14:textId="1DB7F2B6" w:rsidR="008912FC" w:rsidRPr="005814B7" w:rsidRDefault="008912FC" w:rsidP="00FB2F55">
      <w:pPr>
        <w:pStyle w:val="ListParagraph"/>
        <w:numPr>
          <w:ilvl w:val="0"/>
          <w:numId w:val="52"/>
        </w:numPr>
        <w:spacing w:after="0" w:line="240" w:lineRule="auto"/>
        <w:rPr>
          <w:rFonts w:cs="Times New Roman"/>
          <w:sz w:val="24"/>
          <w:szCs w:val="24"/>
        </w:rPr>
      </w:pPr>
      <w:r w:rsidRPr="005814B7">
        <w:rPr>
          <w:rFonts w:cs="Times New Roman"/>
          <w:sz w:val="24"/>
          <w:szCs w:val="24"/>
        </w:rPr>
        <w:t xml:space="preserve">Conduct regular reviews of </w:t>
      </w:r>
      <w:r w:rsidR="008E6664">
        <w:rPr>
          <w:rFonts w:cs="Times New Roman"/>
          <w:sz w:val="24"/>
          <w:szCs w:val="24"/>
        </w:rPr>
        <w:t xml:space="preserve">the </w:t>
      </w:r>
      <w:r w:rsidRPr="005814B7">
        <w:rPr>
          <w:rFonts w:cs="Times New Roman"/>
          <w:sz w:val="24"/>
          <w:szCs w:val="24"/>
        </w:rPr>
        <w:t>documented risks to identify trends, patterns, and areas for improvement.</w:t>
      </w:r>
    </w:p>
    <w:p w14:paraId="633173F9" w14:textId="6D3E2CB5" w:rsidR="008912FC" w:rsidRDefault="008912FC" w:rsidP="00FB2F55">
      <w:pPr>
        <w:pStyle w:val="ListParagraph"/>
        <w:numPr>
          <w:ilvl w:val="0"/>
          <w:numId w:val="52"/>
        </w:numPr>
        <w:spacing w:after="0" w:line="240" w:lineRule="auto"/>
        <w:rPr>
          <w:rFonts w:cs="Times New Roman"/>
          <w:sz w:val="24"/>
          <w:szCs w:val="24"/>
        </w:rPr>
      </w:pPr>
      <w:r w:rsidRPr="005814B7">
        <w:rPr>
          <w:rFonts w:cs="Times New Roman"/>
          <w:sz w:val="24"/>
          <w:szCs w:val="24"/>
        </w:rPr>
        <w:t>Ensure that all stakeholders have access to the risk documentation and are aware of their roles in mitigating identified risks.</w:t>
      </w:r>
    </w:p>
    <w:p w14:paraId="19290AB8" w14:textId="77777777" w:rsidR="008E6664" w:rsidRPr="005814B7" w:rsidRDefault="008E6664" w:rsidP="00FB2F55">
      <w:pPr>
        <w:pStyle w:val="ListParagraph"/>
        <w:spacing w:after="0" w:line="240" w:lineRule="auto"/>
        <w:rPr>
          <w:rFonts w:cs="Times New Roman"/>
          <w:sz w:val="24"/>
          <w:szCs w:val="24"/>
        </w:rPr>
      </w:pPr>
    </w:p>
    <w:p w14:paraId="05EB7581" w14:textId="63C75214" w:rsidR="008E6664" w:rsidRPr="007D521E" w:rsidRDefault="007D521E" w:rsidP="00FB2F55">
      <w:pPr>
        <w:pStyle w:val="Heading2"/>
        <w:spacing w:before="0" w:after="0" w:line="240" w:lineRule="auto"/>
        <w:rPr>
          <w:rStyle w:val="Hyperlink"/>
        </w:rPr>
      </w:pPr>
      <w:r>
        <w:fldChar w:fldCharType="begin"/>
      </w:r>
      <w:r>
        <w:instrText>HYPERLINK "https://www.construction-institute.org/integrated-project-risk-assessment-ipra-version-2-0?token=eyJ0eXAiOiJKV1QiLCJhbGciOiJIUzI1NiJ9.eyJ1c2VybmFtZSI6ImdjaGVuMjRAbmNzdS5lZHUiLCJlbWFpbCI6ImdjaGVuMjRAbmNzdS5lZHUiLCJmaXJzdG5hbWUiOiJHb25nRmFuIiwibGFzdG5hbWUiOiJDaGVuIiwiRXhwaXJlcyI6IjIwMjQtMDctMTlUMjE6MTY6MzAuMzA1MzYxMloifQ.VNNO79VK8CYOZnRRzpJwoDo04bdD_7OY77mFjyP4kiQ"</w:instrText>
      </w:r>
      <w:r>
        <w:fldChar w:fldCharType="separate"/>
      </w:r>
      <w:r w:rsidR="008E6664" w:rsidRPr="007D521E">
        <w:rPr>
          <w:rStyle w:val="Hyperlink"/>
        </w:rPr>
        <w:t>(8) T</w:t>
      </w:r>
      <w:r w:rsidR="005D2581" w:rsidRPr="007D521E">
        <w:rPr>
          <w:rStyle w:val="Hyperlink"/>
        </w:rPr>
        <w:t xml:space="preserve">ool: Integrated Project Risk Assessment (IPRA), Version 2.0 (IR181-2) </w:t>
      </w:r>
    </w:p>
    <w:p w14:paraId="354AFD61" w14:textId="023905DE" w:rsidR="00CB4D3D" w:rsidRDefault="007D521E" w:rsidP="00FB2F55">
      <w:pPr>
        <w:pStyle w:val="Heading2"/>
        <w:spacing w:before="0" w:after="0" w:line="240" w:lineRule="auto"/>
        <w:ind w:firstLine="360"/>
        <w:rPr>
          <w:color w:val="auto"/>
        </w:rPr>
      </w:pPr>
      <w:r>
        <w:fldChar w:fldCharType="end"/>
      </w:r>
      <w:r w:rsidR="00CB4D3D" w:rsidRPr="005814B7">
        <w:rPr>
          <w:color w:val="auto"/>
        </w:rPr>
        <w:t>(Project Phase:</w:t>
      </w:r>
      <w:r w:rsidR="00B011E6" w:rsidRPr="005814B7">
        <w:rPr>
          <w:color w:val="auto"/>
        </w:rPr>
        <w:t xml:space="preserve"> Feasibility through Operate Facility</w:t>
      </w:r>
      <w:r w:rsidR="00CB4D3D" w:rsidRPr="005814B7">
        <w:rPr>
          <w:color w:val="auto"/>
        </w:rPr>
        <w:t>)</w:t>
      </w:r>
    </w:p>
    <w:p w14:paraId="5D43C70C" w14:textId="2379F0C8" w:rsidR="005814B7" w:rsidRPr="005814B7" w:rsidRDefault="005814B7" w:rsidP="00FB2F55">
      <w:pPr>
        <w:spacing w:after="0" w:line="240" w:lineRule="auto"/>
        <w:ind w:left="360"/>
        <w:rPr>
          <w:sz w:val="24"/>
          <w:szCs w:val="24"/>
        </w:rPr>
      </w:pPr>
      <w:r w:rsidRPr="005814B7">
        <w:rPr>
          <w:sz w:val="24"/>
          <w:szCs w:val="24"/>
        </w:rPr>
        <w:t>This tool is designed to:</w:t>
      </w:r>
    </w:p>
    <w:p w14:paraId="042AC875" w14:textId="0CC34835" w:rsidR="00513835" w:rsidRPr="005814B7" w:rsidRDefault="00513835" w:rsidP="00FB2F55">
      <w:pPr>
        <w:pStyle w:val="ListParagraph"/>
        <w:numPr>
          <w:ilvl w:val="0"/>
          <w:numId w:val="53"/>
        </w:numPr>
        <w:spacing w:after="0" w:line="240" w:lineRule="auto"/>
        <w:rPr>
          <w:rFonts w:cs="Times New Roman"/>
          <w:sz w:val="24"/>
          <w:szCs w:val="24"/>
        </w:rPr>
      </w:pPr>
      <w:r w:rsidRPr="005814B7">
        <w:rPr>
          <w:rFonts w:cs="Times New Roman"/>
          <w:sz w:val="24"/>
          <w:szCs w:val="24"/>
        </w:rPr>
        <w:t xml:space="preserve">Define </w:t>
      </w:r>
      <w:r w:rsidR="00D56E53">
        <w:rPr>
          <w:rFonts w:cs="Times New Roman"/>
          <w:sz w:val="24"/>
          <w:szCs w:val="24"/>
        </w:rPr>
        <w:t>IPRA’s</w:t>
      </w:r>
      <w:r w:rsidR="008E6664">
        <w:rPr>
          <w:rFonts w:cs="Times New Roman"/>
          <w:sz w:val="24"/>
          <w:szCs w:val="24"/>
        </w:rPr>
        <w:t xml:space="preserve"> purpose</w:t>
      </w:r>
      <w:r w:rsidRPr="005814B7">
        <w:rPr>
          <w:rFonts w:cs="Times New Roman"/>
          <w:sz w:val="24"/>
          <w:szCs w:val="24"/>
        </w:rPr>
        <w:t>: Enable</w:t>
      </w:r>
      <w:r w:rsidR="008E6664">
        <w:rPr>
          <w:rFonts w:cs="Times New Roman"/>
          <w:sz w:val="24"/>
          <w:szCs w:val="24"/>
        </w:rPr>
        <w:t>s</w:t>
      </w:r>
      <w:r w:rsidRPr="005814B7">
        <w:rPr>
          <w:rFonts w:cs="Times New Roman"/>
          <w:sz w:val="24"/>
          <w:szCs w:val="24"/>
        </w:rPr>
        <w:t xml:space="preserve"> project teams to identify, assess, and mitigate risks, especially for complex projects in unfamiliar environments.</w:t>
      </w:r>
    </w:p>
    <w:p w14:paraId="7858EB2B" w14:textId="74C12A9D" w:rsidR="00513835" w:rsidRPr="005814B7" w:rsidRDefault="00513835" w:rsidP="00FB2F55">
      <w:pPr>
        <w:pStyle w:val="ListParagraph"/>
        <w:numPr>
          <w:ilvl w:val="0"/>
          <w:numId w:val="53"/>
        </w:numPr>
        <w:spacing w:after="0" w:line="240" w:lineRule="auto"/>
        <w:rPr>
          <w:rFonts w:cs="Times New Roman"/>
          <w:sz w:val="24"/>
          <w:szCs w:val="24"/>
        </w:rPr>
      </w:pPr>
      <w:r w:rsidRPr="005814B7">
        <w:rPr>
          <w:rFonts w:cs="Times New Roman"/>
          <w:sz w:val="24"/>
          <w:szCs w:val="24"/>
        </w:rPr>
        <w:t xml:space="preserve">Outline </w:t>
      </w:r>
      <w:r w:rsidR="001F17CD">
        <w:rPr>
          <w:rFonts w:cs="Times New Roman"/>
          <w:sz w:val="24"/>
          <w:szCs w:val="24"/>
        </w:rPr>
        <w:t xml:space="preserve">the </w:t>
      </w:r>
      <w:r w:rsidR="008E6664" w:rsidRPr="005814B7">
        <w:rPr>
          <w:rFonts w:cs="Times New Roman"/>
          <w:sz w:val="24"/>
          <w:szCs w:val="24"/>
        </w:rPr>
        <w:t>risk management stages</w:t>
      </w:r>
      <w:r w:rsidRPr="005814B7">
        <w:rPr>
          <w:rFonts w:cs="Times New Roman"/>
          <w:sz w:val="24"/>
          <w:szCs w:val="24"/>
        </w:rPr>
        <w:t>: Implement</w:t>
      </w:r>
      <w:r w:rsidR="008E6664">
        <w:rPr>
          <w:rFonts w:cs="Times New Roman"/>
          <w:sz w:val="24"/>
          <w:szCs w:val="24"/>
        </w:rPr>
        <w:t>s</w:t>
      </w:r>
      <w:r w:rsidRPr="005814B7">
        <w:rPr>
          <w:rFonts w:cs="Times New Roman"/>
          <w:sz w:val="24"/>
          <w:szCs w:val="24"/>
        </w:rPr>
        <w:t xml:space="preserve"> risk identification, assessment, analysis, and mitigation, serving as a structured guide.</w:t>
      </w:r>
    </w:p>
    <w:p w14:paraId="0642D972" w14:textId="4B550F98" w:rsidR="00513835" w:rsidRPr="005814B7" w:rsidRDefault="00513835" w:rsidP="00FB2F55">
      <w:pPr>
        <w:pStyle w:val="ListParagraph"/>
        <w:numPr>
          <w:ilvl w:val="0"/>
          <w:numId w:val="53"/>
        </w:numPr>
        <w:spacing w:after="0" w:line="240" w:lineRule="auto"/>
        <w:rPr>
          <w:rFonts w:cs="Times New Roman"/>
          <w:sz w:val="24"/>
          <w:szCs w:val="24"/>
        </w:rPr>
      </w:pPr>
      <w:r w:rsidRPr="005814B7">
        <w:rPr>
          <w:rFonts w:cs="Times New Roman"/>
          <w:sz w:val="24"/>
          <w:szCs w:val="24"/>
        </w:rPr>
        <w:t xml:space="preserve">Highlight </w:t>
      </w:r>
      <w:r w:rsidR="008E6664" w:rsidRPr="005814B7">
        <w:rPr>
          <w:rFonts w:cs="Times New Roman"/>
          <w:sz w:val="24"/>
          <w:szCs w:val="24"/>
        </w:rPr>
        <w:t>risk matrix usage</w:t>
      </w:r>
      <w:r w:rsidRPr="005814B7">
        <w:rPr>
          <w:rFonts w:cs="Times New Roman"/>
          <w:sz w:val="24"/>
          <w:szCs w:val="24"/>
        </w:rPr>
        <w:t>: Use</w:t>
      </w:r>
      <w:r w:rsidR="008E6664">
        <w:rPr>
          <w:rFonts w:cs="Times New Roman"/>
          <w:sz w:val="24"/>
          <w:szCs w:val="24"/>
        </w:rPr>
        <w:t>s</w:t>
      </w:r>
      <w:r w:rsidRPr="005814B7">
        <w:rPr>
          <w:rFonts w:cs="Times New Roman"/>
          <w:sz w:val="24"/>
          <w:szCs w:val="24"/>
        </w:rPr>
        <w:t xml:space="preserve"> the IPRA risk matrix to prioritize </w:t>
      </w:r>
      <w:r w:rsidR="008E6664">
        <w:rPr>
          <w:rFonts w:cs="Times New Roman"/>
          <w:sz w:val="24"/>
          <w:szCs w:val="24"/>
        </w:rPr>
        <w:t>highly likely</w:t>
      </w:r>
      <w:r w:rsidRPr="005814B7">
        <w:rPr>
          <w:rFonts w:cs="Times New Roman"/>
          <w:sz w:val="24"/>
          <w:szCs w:val="24"/>
        </w:rPr>
        <w:t>, high-impact risks for mitigation​.</w:t>
      </w:r>
    </w:p>
    <w:p w14:paraId="4D9C919A" w14:textId="1DF6400F" w:rsidR="00513835" w:rsidRPr="005814B7" w:rsidRDefault="00513835" w:rsidP="00FB2F55">
      <w:pPr>
        <w:pStyle w:val="ListParagraph"/>
        <w:numPr>
          <w:ilvl w:val="0"/>
          <w:numId w:val="53"/>
        </w:numPr>
        <w:spacing w:after="0" w:line="240" w:lineRule="auto"/>
        <w:rPr>
          <w:rFonts w:cs="Times New Roman"/>
          <w:sz w:val="24"/>
          <w:szCs w:val="24"/>
        </w:rPr>
      </w:pPr>
      <w:r w:rsidRPr="005814B7">
        <w:rPr>
          <w:rFonts w:cs="Times New Roman"/>
          <w:sz w:val="24"/>
          <w:szCs w:val="24"/>
        </w:rPr>
        <w:t xml:space="preserve">Emphasize </w:t>
      </w:r>
      <w:r w:rsidR="008E6664" w:rsidRPr="005814B7">
        <w:rPr>
          <w:rFonts w:cs="Times New Roman"/>
          <w:sz w:val="24"/>
          <w:szCs w:val="24"/>
        </w:rPr>
        <w:t>continuous as</w:t>
      </w:r>
      <w:r w:rsidRPr="005814B7">
        <w:rPr>
          <w:rFonts w:cs="Times New Roman"/>
          <w:sz w:val="24"/>
          <w:szCs w:val="24"/>
        </w:rPr>
        <w:t>sessment: Conduct</w:t>
      </w:r>
      <w:r w:rsidR="008E6664">
        <w:rPr>
          <w:rFonts w:cs="Times New Roman"/>
          <w:sz w:val="24"/>
          <w:szCs w:val="24"/>
        </w:rPr>
        <w:t>s</w:t>
      </w:r>
      <w:r w:rsidRPr="005814B7">
        <w:rPr>
          <w:rFonts w:cs="Times New Roman"/>
          <w:sz w:val="24"/>
          <w:szCs w:val="24"/>
        </w:rPr>
        <w:t xml:space="preserve"> IPRA evaluations throughout </w:t>
      </w:r>
      <w:r w:rsidR="008E6664">
        <w:rPr>
          <w:rFonts w:cs="Times New Roman"/>
          <w:sz w:val="24"/>
          <w:szCs w:val="24"/>
        </w:rPr>
        <w:t xml:space="preserve">the </w:t>
      </w:r>
      <w:r w:rsidRPr="005814B7">
        <w:rPr>
          <w:rFonts w:cs="Times New Roman"/>
          <w:sz w:val="24"/>
          <w:szCs w:val="24"/>
        </w:rPr>
        <w:t>project</w:t>
      </w:r>
      <w:r w:rsidR="008E6664">
        <w:rPr>
          <w:rFonts w:cs="Times New Roman"/>
          <w:sz w:val="24"/>
          <w:szCs w:val="24"/>
        </w:rPr>
        <w:t>’s various</w:t>
      </w:r>
      <w:r w:rsidRPr="005814B7">
        <w:rPr>
          <w:rFonts w:cs="Times New Roman"/>
          <w:sz w:val="24"/>
          <w:szCs w:val="24"/>
        </w:rPr>
        <w:t xml:space="preserve"> stages to adjust for new risks as the project evolves.</w:t>
      </w:r>
    </w:p>
    <w:p w14:paraId="55CAF9DD" w14:textId="199BA38B" w:rsidR="006C10D5" w:rsidRPr="005814B7" w:rsidRDefault="00513835" w:rsidP="00FB2F55">
      <w:pPr>
        <w:pStyle w:val="ListParagraph"/>
        <w:numPr>
          <w:ilvl w:val="0"/>
          <w:numId w:val="53"/>
        </w:numPr>
        <w:spacing w:after="0" w:line="240" w:lineRule="auto"/>
        <w:rPr>
          <w:rFonts w:cs="Times New Roman"/>
          <w:sz w:val="24"/>
          <w:szCs w:val="24"/>
        </w:rPr>
      </w:pPr>
      <w:r w:rsidRPr="005814B7">
        <w:rPr>
          <w:rFonts w:cs="Times New Roman"/>
          <w:sz w:val="24"/>
          <w:szCs w:val="24"/>
        </w:rPr>
        <w:t xml:space="preserve">Recommend </w:t>
      </w:r>
      <w:r w:rsidR="008E6664" w:rsidRPr="005814B7">
        <w:rPr>
          <w:rFonts w:cs="Times New Roman"/>
          <w:sz w:val="24"/>
          <w:szCs w:val="24"/>
        </w:rPr>
        <w:t>action p</w:t>
      </w:r>
      <w:r w:rsidRPr="005814B7">
        <w:rPr>
          <w:rFonts w:cs="Times New Roman"/>
          <w:sz w:val="24"/>
          <w:szCs w:val="24"/>
        </w:rPr>
        <w:t>lans: Implement mitigation strategies such as risk avoidance, retention, control, transfer, and contingency planning.</w:t>
      </w:r>
    </w:p>
    <w:sectPr w:rsidR="006C10D5" w:rsidRPr="005814B7"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6F8E8" w14:textId="77777777" w:rsidR="00FA3EB4" w:rsidRDefault="00FA3EB4" w:rsidP="000E4EED">
      <w:pPr>
        <w:spacing w:after="0" w:line="240" w:lineRule="auto"/>
      </w:pPr>
      <w:r>
        <w:separator/>
      </w:r>
    </w:p>
  </w:endnote>
  <w:endnote w:type="continuationSeparator" w:id="0">
    <w:p w14:paraId="305321DE" w14:textId="77777777" w:rsidR="00FA3EB4" w:rsidRDefault="00FA3EB4" w:rsidP="000E4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662CE" w14:textId="77777777" w:rsidR="00FA3EB4" w:rsidRDefault="00FA3EB4" w:rsidP="000E4EED">
      <w:pPr>
        <w:spacing w:after="0" w:line="240" w:lineRule="auto"/>
      </w:pPr>
      <w:r>
        <w:separator/>
      </w:r>
    </w:p>
  </w:footnote>
  <w:footnote w:type="continuationSeparator" w:id="0">
    <w:p w14:paraId="0FE8B943" w14:textId="77777777" w:rsidR="00FA3EB4" w:rsidRDefault="00FA3EB4" w:rsidP="000E4E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64CE5"/>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A758D"/>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B5914"/>
    <w:multiLevelType w:val="hybridMultilevel"/>
    <w:tmpl w:val="E89A1B8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12160F"/>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547DE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44C0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CE5FAF"/>
    <w:multiLevelType w:val="hybridMultilevel"/>
    <w:tmpl w:val="818C664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CE6A3B"/>
    <w:multiLevelType w:val="hybridMultilevel"/>
    <w:tmpl w:val="33F0CAB2"/>
    <w:lvl w:ilvl="0" w:tplc="5284145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A8402E"/>
    <w:multiLevelType w:val="hybridMultilevel"/>
    <w:tmpl w:val="1BCE11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6D3220"/>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117DB9"/>
    <w:multiLevelType w:val="hybridMultilevel"/>
    <w:tmpl w:val="27F89C0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84269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12161B"/>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AC0693"/>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7FC3BE4"/>
    <w:multiLevelType w:val="hybridMultilevel"/>
    <w:tmpl w:val="B4105F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B73A0D"/>
    <w:multiLevelType w:val="hybridMultilevel"/>
    <w:tmpl w:val="6C74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1F63C6"/>
    <w:multiLevelType w:val="hybridMultilevel"/>
    <w:tmpl w:val="B83A2F78"/>
    <w:lvl w:ilvl="0" w:tplc="148C93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0D527D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9B1CB1"/>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C1598B"/>
    <w:multiLevelType w:val="hybridMultilevel"/>
    <w:tmpl w:val="107E015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E8F2B92"/>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233270"/>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3D6BD5"/>
    <w:multiLevelType w:val="hybridMultilevel"/>
    <w:tmpl w:val="A96C201A"/>
    <w:lvl w:ilvl="0" w:tplc="4FAE4348">
      <w:numFmt w:val="bullet"/>
      <w:lvlText w:val="-"/>
      <w:lvlJc w:val="left"/>
      <w:pPr>
        <w:ind w:left="780" w:hanging="360"/>
      </w:pPr>
      <w:rPr>
        <w:rFonts w:ascii="Times New Roman" w:eastAsiaTheme="maj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4AD80BE9"/>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BD606B9"/>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DD1AD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CAC17C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CA75E5"/>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BD6787C"/>
    <w:multiLevelType w:val="hybridMultilevel"/>
    <w:tmpl w:val="4DF29B4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E3D1A6D"/>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F37570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FF55CF3"/>
    <w:multiLevelType w:val="hybridMultilevel"/>
    <w:tmpl w:val="DACE90B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8122BFD"/>
    <w:multiLevelType w:val="hybridMultilevel"/>
    <w:tmpl w:val="03E2731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33"/>
  </w:num>
  <w:num w:numId="2" w16cid:durableId="1052078125">
    <w:abstractNumId w:val="49"/>
  </w:num>
  <w:num w:numId="3" w16cid:durableId="676617151">
    <w:abstractNumId w:val="52"/>
  </w:num>
  <w:num w:numId="4" w16cid:durableId="562835090">
    <w:abstractNumId w:val="43"/>
  </w:num>
  <w:num w:numId="5" w16cid:durableId="1359504598">
    <w:abstractNumId w:val="27"/>
  </w:num>
  <w:num w:numId="6" w16cid:durableId="1562987232">
    <w:abstractNumId w:val="35"/>
  </w:num>
  <w:num w:numId="7" w16cid:durableId="884367478">
    <w:abstractNumId w:val="37"/>
  </w:num>
  <w:num w:numId="8" w16cid:durableId="1738436825">
    <w:abstractNumId w:val="0"/>
  </w:num>
  <w:num w:numId="9" w16cid:durableId="1936673494">
    <w:abstractNumId w:val="28"/>
  </w:num>
  <w:num w:numId="10" w16cid:durableId="431172331">
    <w:abstractNumId w:val="23"/>
  </w:num>
  <w:num w:numId="11" w16cid:durableId="994726383">
    <w:abstractNumId w:val="4"/>
  </w:num>
  <w:num w:numId="12" w16cid:durableId="1914001632">
    <w:abstractNumId w:val="44"/>
  </w:num>
  <w:num w:numId="13" w16cid:durableId="301545632">
    <w:abstractNumId w:val="1"/>
  </w:num>
  <w:num w:numId="14" w16cid:durableId="2017884132">
    <w:abstractNumId w:val="32"/>
  </w:num>
  <w:num w:numId="15" w16cid:durableId="1776166522">
    <w:abstractNumId w:val="48"/>
  </w:num>
  <w:num w:numId="16" w16cid:durableId="1327244331">
    <w:abstractNumId w:val="26"/>
  </w:num>
  <w:num w:numId="17" w16cid:durableId="820850785">
    <w:abstractNumId w:val="22"/>
  </w:num>
  <w:num w:numId="18" w16cid:durableId="1750813447">
    <w:abstractNumId w:val="24"/>
  </w:num>
  <w:num w:numId="19" w16cid:durableId="1264415857">
    <w:abstractNumId w:val="18"/>
  </w:num>
  <w:num w:numId="20" w16cid:durableId="1491749955">
    <w:abstractNumId w:val="12"/>
  </w:num>
  <w:num w:numId="21" w16cid:durableId="508376827">
    <w:abstractNumId w:val="36"/>
  </w:num>
  <w:num w:numId="22" w16cid:durableId="881601151">
    <w:abstractNumId w:val="53"/>
  </w:num>
  <w:num w:numId="23" w16cid:durableId="63258752">
    <w:abstractNumId w:val="13"/>
  </w:num>
  <w:num w:numId="24" w16cid:durableId="1230532511">
    <w:abstractNumId w:val="41"/>
  </w:num>
  <w:num w:numId="25" w16cid:durableId="888608356">
    <w:abstractNumId w:val="45"/>
  </w:num>
  <w:num w:numId="26" w16cid:durableId="718168758">
    <w:abstractNumId w:val="14"/>
  </w:num>
  <w:num w:numId="27" w16cid:durableId="1580016222">
    <w:abstractNumId w:val="42"/>
  </w:num>
  <w:num w:numId="28" w16cid:durableId="389571904">
    <w:abstractNumId w:val="40"/>
  </w:num>
  <w:num w:numId="29" w16cid:durableId="1449162640">
    <w:abstractNumId w:val="19"/>
  </w:num>
  <w:num w:numId="30" w16cid:durableId="840201578">
    <w:abstractNumId w:val="17"/>
  </w:num>
  <w:num w:numId="31" w16cid:durableId="255138181">
    <w:abstractNumId w:val="8"/>
  </w:num>
  <w:num w:numId="32" w16cid:durableId="1426077296">
    <w:abstractNumId w:val="50"/>
  </w:num>
  <w:num w:numId="33" w16cid:durableId="635765003">
    <w:abstractNumId w:val="38"/>
  </w:num>
  <w:num w:numId="34" w16cid:durableId="1873768057">
    <w:abstractNumId w:val="29"/>
  </w:num>
  <w:num w:numId="35" w16cid:durableId="817309146">
    <w:abstractNumId w:val="2"/>
  </w:num>
  <w:num w:numId="36" w16cid:durableId="29259795">
    <w:abstractNumId w:val="3"/>
  </w:num>
  <w:num w:numId="37" w16cid:durableId="1607805365">
    <w:abstractNumId w:val="6"/>
  </w:num>
  <w:num w:numId="38" w16cid:durableId="1162157170">
    <w:abstractNumId w:val="31"/>
  </w:num>
  <w:num w:numId="39" w16cid:durableId="829491601">
    <w:abstractNumId w:val="25"/>
  </w:num>
  <w:num w:numId="40" w16cid:durableId="775519758">
    <w:abstractNumId w:val="20"/>
  </w:num>
  <w:num w:numId="41" w16cid:durableId="1047029930">
    <w:abstractNumId w:val="7"/>
  </w:num>
  <w:num w:numId="42" w16cid:durableId="706561501">
    <w:abstractNumId w:val="39"/>
  </w:num>
  <w:num w:numId="43" w16cid:durableId="2141067075">
    <w:abstractNumId w:val="16"/>
  </w:num>
  <w:num w:numId="44" w16cid:durableId="31271047">
    <w:abstractNumId w:val="47"/>
  </w:num>
  <w:num w:numId="45" w16cid:durableId="673264387">
    <w:abstractNumId w:val="34"/>
  </w:num>
  <w:num w:numId="46" w16cid:durableId="1808551787">
    <w:abstractNumId w:val="30"/>
  </w:num>
  <w:num w:numId="47" w16cid:durableId="1283539371">
    <w:abstractNumId w:val="54"/>
  </w:num>
  <w:num w:numId="48" w16cid:durableId="1757631476">
    <w:abstractNumId w:val="11"/>
  </w:num>
  <w:num w:numId="49" w16cid:durableId="120340634">
    <w:abstractNumId w:val="15"/>
  </w:num>
  <w:num w:numId="50" w16cid:durableId="534541015">
    <w:abstractNumId w:val="51"/>
  </w:num>
  <w:num w:numId="51" w16cid:durableId="2070613253">
    <w:abstractNumId w:val="46"/>
  </w:num>
  <w:num w:numId="52" w16cid:durableId="355622212">
    <w:abstractNumId w:val="9"/>
  </w:num>
  <w:num w:numId="53" w16cid:durableId="685912339">
    <w:abstractNumId w:val="5"/>
  </w:num>
  <w:num w:numId="54" w16cid:durableId="1504008265">
    <w:abstractNumId w:val="21"/>
  </w:num>
  <w:num w:numId="55" w16cid:durableId="18502192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21DF5"/>
    <w:rsid w:val="00025091"/>
    <w:rsid w:val="00025825"/>
    <w:rsid w:val="00036FFA"/>
    <w:rsid w:val="00040547"/>
    <w:rsid w:val="000608AC"/>
    <w:rsid w:val="00066978"/>
    <w:rsid w:val="00085EE4"/>
    <w:rsid w:val="00090C53"/>
    <w:rsid w:val="00091A32"/>
    <w:rsid w:val="000B62EF"/>
    <w:rsid w:val="000D7975"/>
    <w:rsid w:val="000E3904"/>
    <w:rsid w:val="000E4EED"/>
    <w:rsid w:val="00123DB4"/>
    <w:rsid w:val="00134D87"/>
    <w:rsid w:val="00147C89"/>
    <w:rsid w:val="00161681"/>
    <w:rsid w:val="001644FE"/>
    <w:rsid w:val="00164CD2"/>
    <w:rsid w:val="00167836"/>
    <w:rsid w:val="00175D8E"/>
    <w:rsid w:val="00175FB9"/>
    <w:rsid w:val="001762EC"/>
    <w:rsid w:val="00177E12"/>
    <w:rsid w:val="00191A51"/>
    <w:rsid w:val="00196911"/>
    <w:rsid w:val="001A2C36"/>
    <w:rsid w:val="001B423A"/>
    <w:rsid w:val="001B5CD9"/>
    <w:rsid w:val="001C40B4"/>
    <w:rsid w:val="001C764B"/>
    <w:rsid w:val="001C78E6"/>
    <w:rsid w:val="001D54C7"/>
    <w:rsid w:val="001D686C"/>
    <w:rsid w:val="001E399C"/>
    <w:rsid w:val="001F04FA"/>
    <w:rsid w:val="001F17CD"/>
    <w:rsid w:val="001F5BB5"/>
    <w:rsid w:val="001F6DBB"/>
    <w:rsid w:val="001F6ECD"/>
    <w:rsid w:val="00206F5F"/>
    <w:rsid w:val="002078D0"/>
    <w:rsid w:val="002147F6"/>
    <w:rsid w:val="00230D98"/>
    <w:rsid w:val="0025066D"/>
    <w:rsid w:val="00272EF8"/>
    <w:rsid w:val="002776DF"/>
    <w:rsid w:val="00297D38"/>
    <w:rsid w:val="002A376F"/>
    <w:rsid w:val="002B3DC2"/>
    <w:rsid w:val="002B75BE"/>
    <w:rsid w:val="002C056D"/>
    <w:rsid w:val="002C7919"/>
    <w:rsid w:val="002D2B58"/>
    <w:rsid w:val="002D48FA"/>
    <w:rsid w:val="002E6A4F"/>
    <w:rsid w:val="002E7BD5"/>
    <w:rsid w:val="003018C2"/>
    <w:rsid w:val="00305B95"/>
    <w:rsid w:val="003066B9"/>
    <w:rsid w:val="003075B0"/>
    <w:rsid w:val="00323C0E"/>
    <w:rsid w:val="00327DDD"/>
    <w:rsid w:val="0033299E"/>
    <w:rsid w:val="00346ADE"/>
    <w:rsid w:val="00350B6A"/>
    <w:rsid w:val="00360BB4"/>
    <w:rsid w:val="003702F7"/>
    <w:rsid w:val="00377576"/>
    <w:rsid w:val="003A311F"/>
    <w:rsid w:val="003B2149"/>
    <w:rsid w:val="003D06D0"/>
    <w:rsid w:val="003D4BFF"/>
    <w:rsid w:val="003E0B86"/>
    <w:rsid w:val="003E39EF"/>
    <w:rsid w:val="003F79B9"/>
    <w:rsid w:val="00400E9E"/>
    <w:rsid w:val="004026F2"/>
    <w:rsid w:val="00412A7E"/>
    <w:rsid w:val="0042219D"/>
    <w:rsid w:val="00423365"/>
    <w:rsid w:val="00425510"/>
    <w:rsid w:val="00430128"/>
    <w:rsid w:val="00430737"/>
    <w:rsid w:val="00442F94"/>
    <w:rsid w:val="00456472"/>
    <w:rsid w:val="00460AD1"/>
    <w:rsid w:val="004656F5"/>
    <w:rsid w:val="00475E4C"/>
    <w:rsid w:val="004771AE"/>
    <w:rsid w:val="004B5236"/>
    <w:rsid w:val="004B7D65"/>
    <w:rsid w:val="004C3E1B"/>
    <w:rsid w:val="004C5BA4"/>
    <w:rsid w:val="00502DCE"/>
    <w:rsid w:val="00513835"/>
    <w:rsid w:val="005158E6"/>
    <w:rsid w:val="005205BD"/>
    <w:rsid w:val="00521D71"/>
    <w:rsid w:val="00536004"/>
    <w:rsid w:val="00543C90"/>
    <w:rsid w:val="00554F68"/>
    <w:rsid w:val="005559B6"/>
    <w:rsid w:val="00557698"/>
    <w:rsid w:val="00564B80"/>
    <w:rsid w:val="005814B7"/>
    <w:rsid w:val="005853B4"/>
    <w:rsid w:val="005973D1"/>
    <w:rsid w:val="00597D31"/>
    <w:rsid w:val="005A4F97"/>
    <w:rsid w:val="005B028E"/>
    <w:rsid w:val="005B15B3"/>
    <w:rsid w:val="005B34D0"/>
    <w:rsid w:val="005C32EE"/>
    <w:rsid w:val="005D2581"/>
    <w:rsid w:val="005D3434"/>
    <w:rsid w:val="005D5F34"/>
    <w:rsid w:val="005E161A"/>
    <w:rsid w:val="00605512"/>
    <w:rsid w:val="00612571"/>
    <w:rsid w:val="00627BDB"/>
    <w:rsid w:val="00636B48"/>
    <w:rsid w:val="00637D44"/>
    <w:rsid w:val="00642EA4"/>
    <w:rsid w:val="006624D8"/>
    <w:rsid w:val="00662AEB"/>
    <w:rsid w:val="00672818"/>
    <w:rsid w:val="0068783B"/>
    <w:rsid w:val="0069000B"/>
    <w:rsid w:val="0069226A"/>
    <w:rsid w:val="00692983"/>
    <w:rsid w:val="006956BA"/>
    <w:rsid w:val="006B0223"/>
    <w:rsid w:val="006B5403"/>
    <w:rsid w:val="006C10D5"/>
    <w:rsid w:val="006C56D3"/>
    <w:rsid w:val="007078EE"/>
    <w:rsid w:val="00737FDF"/>
    <w:rsid w:val="0074160A"/>
    <w:rsid w:val="007505A2"/>
    <w:rsid w:val="007647BE"/>
    <w:rsid w:val="00767667"/>
    <w:rsid w:val="00791A21"/>
    <w:rsid w:val="0079372A"/>
    <w:rsid w:val="00793B5D"/>
    <w:rsid w:val="007A64C2"/>
    <w:rsid w:val="007A6C07"/>
    <w:rsid w:val="007D521E"/>
    <w:rsid w:val="007E077B"/>
    <w:rsid w:val="00821D38"/>
    <w:rsid w:val="0082368D"/>
    <w:rsid w:val="00826371"/>
    <w:rsid w:val="00830A5A"/>
    <w:rsid w:val="00830C78"/>
    <w:rsid w:val="00841DA5"/>
    <w:rsid w:val="0084208B"/>
    <w:rsid w:val="00843F7E"/>
    <w:rsid w:val="00850AD4"/>
    <w:rsid w:val="0085257D"/>
    <w:rsid w:val="008525BA"/>
    <w:rsid w:val="008628C2"/>
    <w:rsid w:val="00863457"/>
    <w:rsid w:val="00875253"/>
    <w:rsid w:val="00881E45"/>
    <w:rsid w:val="008912FC"/>
    <w:rsid w:val="00891D16"/>
    <w:rsid w:val="00893B71"/>
    <w:rsid w:val="008A53A5"/>
    <w:rsid w:val="008A77C5"/>
    <w:rsid w:val="008B097B"/>
    <w:rsid w:val="008C3801"/>
    <w:rsid w:val="008D3281"/>
    <w:rsid w:val="008E0C58"/>
    <w:rsid w:val="008E6664"/>
    <w:rsid w:val="008F2B50"/>
    <w:rsid w:val="009157BB"/>
    <w:rsid w:val="009218A9"/>
    <w:rsid w:val="0092799F"/>
    <w:rsid w:val="00927DED"/>
    <w:rsid w:val="0093107B"/>
    <w:rsid w:val="0093110F"/>
    <w:rsid w:val="00932177"/>
    <w:rsid w:val="009424A3"/>
    <w:rsid w:val="009456FC"/>
    <w:rsid w:val="0094617E"/>
    <w:rsid w:val="009531C8"/>
    <w:rsid w:val="00974D5D"/>
    <w:rsid w:val="0098010A"/>
    <w:rsid w:val="00981F18"/>
    <w:rsid w:val="00991680"/>
    <w:rsid w:val="009A418F"/>
    <w:rsid w:val="009A4C64"/>
    <w:rsid w:val="009B0C22"/>
    <w:rsid w:val="009C1CAE"/>
    <w:rsid w:val="009C50C6"/>
    <w:rsid w:val="009D0001"/>
    <w:rsid w:val="009E3D07"/>
    <w:rsid w:val="009F4DB8"/>
    <w:rsid w:val="00A00AB3"/>
    <w:rsid w:val="00A1325C"/>
    <w:rsid w:val="00A16877"/>
    <w:rsid w:val="00A16F49"/>
    <w:rsid w:val="00A20E61"/>
    <w:rsid w:val="00A23C55"/>
    <w:rsid w:val="00A253C6"/>
    <w:rsid w:val="00A25DF4"/>
    <w:rsid w:val="00A3695B"/>
    <w:rsid w:val="00A4057E"/>
    <w:rsid w:val="00A709F0"/>
    <w:rsid w:val="00A8106C"/>
    <w:rsid w:val="00A8500D"/>
    <w:rsid w:val="00A877C6"/>
    <w:rsid w:val="00A9150C"/>
    <w:rsid w:val="00A9209E"/>
    <w:rsid w:val="00AC2212"/>
    <w:rsid w:val="00AC4625"/>
    <w:rsid w:val="00AE5CF1"/>
    <w:rsid w:val="00AF4C99"/>
    <w:rsid w:val="00B011E6"/>
    <w:rsid w:val="00B02135"/>
    <w:rsid w:val="00B043AF"/>
    <w:rsid w:val="00B23294"/>
    <w:rsid w:val="00B42B84"/>
    <w:rsid w:val="00B62935"/>
    <w:rsid w:val="00B708E2"/>
    <w:rsid w:val="00B8360C"/>
    <w:rsid w:val="00BB4802"/>
    <w:rsid w:val="00BB5DEC"/>
    <w:rsid w:val="00C040E9"/>
    <w:rsid w:val="00C33AFE"/>
    <w:rsid w:val="00C40551"/>
    <w:rsid w:val="00C50E46"/>
    <w:rsid w:val="00C5765D"/>
    <w:rsid w:val="00C654B8"/>
    <w:rsid w:val="00C65CE5"/>
    <w:rsid w:val="00C665F2"/>
    <w:rsid w:val="00C770FF"/>
    <w:rsid w:val="00C859B2"/>
    <w:rsid w:val="00C95D58"/>
    <w:rsid w:val="00CB4D3D"/>
    <w:rsid w:val="00CC4411"/>
    <w:rsid w:val="00CE0ECA"/>
    <w:rsid w:val="00CE1B19"/>
    <w:rsid w:val="00CE2384"/>
    <w:rsid w:val="00D2439C"/>
    <w:rsid w:val="00D25445"/>
    <w:rsid w:val="00D264CA"/>
    <w:rsid w:val="00D2690D"/>
    <w:rsid w:val="00D270CA"/>
    <w:rsid w:val="00D3224B"/>
    <w:rsid w:val="00D50288"/>
    <w:rsid w:val="00D56E53"/>
    <w:rsid w:val="00D65E42"/>
    <w:rsid w:val="00D805A5"/>
    <w:rsid w:val="00D93581"/>
    <w:rsid w:val="00DA085F"/>
    <w:rsid w:val="00DC34FA"/>
    <w:rsid w:val="00DC3935"/>
    <w:rsid w:val="00DD186D"/>
    <w:rsid w:val="00DD2D0B"/>
    <w:rsid w:val="00E02EE6"/>
    <w:rsid w:val="00E0520F"/>
    <w:rsid w:val="00E1197B"/>
    <w:rsid w:val="00E22F8F"/>
    <w:rsid w:val="00E265DF"/>
    <w:rsid w:val="00E35007"/>
    <w:rsid w:val="00E54874"/>
    <w:rsid w:val="00E6414C"/>
    <w:rsid w:val="00E661CF"/>
    <w:rsid w:val="00E6718B"/>
    <w:rsid w:val="00E76CE3"/>
    <w:rsid w:val="00EA1B30"/>
    <w:rsid w:val="00EB687D"/>
    <w:rsid w:val="00EB6F30"/>
    <w:rsid w:val="00EC0D03"/>
    <w:rsid w:val="00EC1E4A"/>
    <w:rsid w:val="00ED0B84"/>
    <w:rsid w:val="00EE12E6"/>
    <w:rsid w:val="00EE13D3"/>
    <w:rsid w:val="00EE3118"/>
    <w:rsid w:val="00EF6A5F"/>
    <w:rsid w:val="00F10C1B"/>
    <w:rsid w:val="00F26307"/>
    <w:rsid w:val="00F30329"/>
    <w:rsid w:val="00F36B4E"/>
    <w:rsid w:val="00F45B5A"/>
    <w:rsid w:val="00F5025F"/>
    <w:rsid w:val="00F52441"/>
    <w:rsid w:val="00F524A9"/>
    <w:rsid w:val="00F54066"/>
    <w:rsid w:val="00F54EB4"/>
    <w:rsid w:val="00F57F83"/>
    <w:rsid w:val="00F833C6"/>
    <w:rsid w:val="00F83FAA"/>
    <w:rsid w:val="00F95D92"/>
    <w:rsid w:val="00FA3EB4"/>
    <w:rsid w:val="00FB2F55"/>
    <w:rsid w:val="00FB5806"/>
    <w:rsid w:val="00FB7721"/>
    <w:rsid w:val="00FC2903"/>
    <w:rsid w:val="00FC3FE2"/>
    <w:rsid w:val="00FD1620"/>
    <w:rsid w:val="00FE2001"/>
    <w:rsid w:val="00FE43B8"/>
    <w:rsid w:val="00FF0E5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9218A9"/>
    <w:pPr>
      <w:spacing w:after="0" w:line="240" w:lineRule="auto"/>
    </w:pPr>
  </w:style>
  <w:style w:type="paragraph" w:styleId="Header">
    <w:name w:val="header"/>
    <w:basedOn w:val="Normal"/>
    <w:link w:val="HeaderChar"/>
    <w:uiPriority w:val="99"/>
    <w:unhideWhenUsed/>
    <w:rsid w:val="000E4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EED"/>
  </w:style>
  <w:style w:type="paragraph" w:styleId="Footer">
    <w:name w:val="footer"/>
    <w:basedOn w:val="Normal"/>
    <w:link w:val="FooterChar"/>
    <w:uiPriority w:val="99"/>
    <w:unhideWhenUsed/>
    <w:rsid w:val="000E4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2760381">
      <w:bodyDiv w:val="1"/>
      <w:marLeft w:val="0"/>
      <w:marRight w:val="0"/>
      <w:marTop w:val="0"/>
      <w:marBottom w:val="0"/>
      <w:divBdr>
        <w:top w:val="none" w:sz="0" w:space="0" w:color="auto"/>
        <w:left w:val="none" w:sz="0" w:space="0" w:color="auto"/>
        <w:bottom w:val="none" w:sz="0" w:space="0" w:color="auto"/>
        <w:right w:val="none" w:sz="0" w:space="0" w:color="auto"/>
      </w:divBdr>
    </w:div>
    <w:div w:id="776217158">
      <w:bodyDiv w:val="1"/>
      <w:marLeft w:val="0"/>
      <w:marRight w:val="0"/>
      <w:marTop w:val="0"/>
      <w:marBottom w:val="0"/>
      <w:divBdr>
        <w:top w:val="none" w:sz="0" w:space="0" w:color="auto"/>
        <w:left w:val="none" w:sz="0" w:space="0" w:color="auto"/>
        <w:bottom w:val="none" w:sz="0" w:space="0" w:color="auto"/>
        <w:right w:val="none" w:sz="0" w:space="0" w:color="auto"/>
      </w:divBdr>
    </w:div>
    <w:div w:id="947658396">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09058221">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554152988">
      <w:bodyDiv w:val="1"/>
      <w:marLeft w:val="0"/>
      <w:marRight w:val="0"/>
      <w:marTop w:val="0"/>
      <w:marBottom w:val="0"/>
      <w:divBdr>
        <w:top w:val="none" w:sz="0" w:space="0" w:color="auto"/>
        <w:left w:val="none" w:sz="0" w:space="0" w:color="auto"/>
        <w:bottom w:val="none" w:sz="0" w:space="0" w:color="auto"/>
        <w:right w:val="none" w:sz="0" w:space="0" w:color="auto"/>
      </w:divBdr>
    </w:div>
    <w:div w:id="1560287969">
      <w:bodyDiv w:val="1"/>
      <w:marLeft w:val="0"/>
      <w:marRight w:val="0"/>
      <w:marTop w:val="0"/>
      <w:marBottom w:val="0"/>
      <w:divBdr>
        <w:top w:val="none" w:sz="0" w:space="0" w:color="auto"/>
        <w:left w:val="none" w:sz="0" w:space="0" w:color="auto"/>
        <w:bottom w:val="none" w:sz="0" w:space="0" w:color="auto"/>
        <w:right w:val="none" w:sz="0" w:space="0" w:color="auto"/>
      </w:divBdr>
    </w:div>
    <w:div w:id="1645574278">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risk-assessment-on-international-projects-a-management-approa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7370A-A020-488A-A78F-AB40F86B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1040</Words>
  <Characters>6616</Characters>
  <Application>Microsoft Office Word</Application>
  <DocSecurity>0</DocSecurity>
  <Lines>135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2025-03-04T22:26:00Z</dcterms:created>
  <dcterms:modified xsi:type="dcterms:W3CDTF">2025-03-07T21:59:00Z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